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01" w:rsidRDefault="00942C01" w:rsidP="001559F5">
      <w:pPr>
        <w:pStyle w:val="NoSpacing"/>
      </w:pPr>
    </w:p>
    <w:p w:rsidR="001559F5" w:rsidRDefault="001559F5" w:rsidP="001559F5">
      <w:pPr>
        <w:pStyle w:val="Appendix"/>
        <w:numPr>
          <w:ilvl w:val="0"/>
          <w:numId w:val="0"/>
        </w:numPr>
        <w:jc w:val="both"/>
      </w:pPr>
      <w:bookmarkStart w:id="0" w:name="_Toc8749430"/>
      <w:r>
        <w:lastRenderedPageBreak/>
        <w:t>Housing Needs Assessment Glossary</w:t>
      </w:r>
      <w:bookmarkEnd w:id="0"/>
    </w:p>
    <w:p w:rsidR="001559F5" w:rsidRPr="00A50BD6" w:rsidRDefault="001559F5" w:rsidP="001559F5">
      <w:pPr>
        <w:pStyle w:val="BodyText"/>
        <w:jc w:val="both"/>
        <w:rPr>
          <w:b/>
        </w:rPr>
      </w:pPr>
      <w:r w:rsidRPr="00A50BD6">
        <w:rPr>
          <w:b/>
        </w:rPr>
        <w:t>Adoption</w:t>
      </w:r>
    </w:p>
    <w:p w:rsidR="001559F5" w:rsidRPr="00A50BD6" w:rsidRDefault="001559F5" w:rsidP="001559F5">
      <w:pPr>
        <w:pStyle w:val="BodyText"/>
        <w:jc w:val="both"/>
      </w:pPr>
      <w:r w:rsidRPr="00A50BD6">
        <w:t>This refers to the final confirmation of a local plan by a local planning authority.</w:t>
      </w:r>
    </w:p>
    <w:p w:rsidR="001559F5" w:rsidRPr="00A50BD6" w:rsidRDefault="001559F5" w:rsidP="001559F5">
      <w:pPr>
        <w:pStyle w:val="BodyText"/>
        <w:jc w:val="both"/>
        <w:rPr>
          <w:b/>
        </w:rPr>
      </w:pPr>
      <w:r w:rsidRPr="00A50BD6">
        <w:rPr>
          <w:b/>
        </w:rPr>
        <w:t>Affordability</w:t>
      </w:r>
    </w:p>
    <w:p w:rsidR="001559F5" w:rsidRPr="00A50BD6" w:rsidRDefault="001559F5" w:rsidP="001559F5">
      <w:pPr>
        <w:pStyle w:val="BodyText"/>
        <w:jc w:val="both"/>
      </w:pPr>
      <w:r w:rsidRPr="00A50BD6">
        <w:t xml:space="preserve">The terms ‘affordability’ and ‘affordable housing’ have different meanings. ‘Affordability’ is a measure of whether housing may be afforded by certain groups of households. ‘Affordable housing’ refers to particular products outside the main housing market. </w:t>
      </w:r>
    </w:p>
    <w:p w:rsidR="001559F5" w:rsidRPr="00A50BD6" w:rsidRDefault="001559F5" w:rsidP="001559F5">
      <w:pPr>
        <w:pStyle w:val="BodyText"/>
        <w:jc w:val="both"/>
        <w:rPr>
          <w:b/>
          <w:color w:val="4A4A49"/>
        </w:rPr>
      </w:pPr>
      <w:r w:rsidRPr="00A50BD6">
        <w:rPr>
          <w:b/>
        </w:rPr>
        <w:t>Affordability Ratio</w:t>
      </w:r>
    </w:p>
    <w:p w:rsidR="001559F5" w:rsidRPr="00A50BD6" w:rsidRDefault="001559F5" w:rsidP="001559F5">
      <w:pPr>
        <w:pStyle w:val="BodyText"/>
        <w:jc w:val="both"/>
      </w:pPr>
      <w:r w:rsidRPr="00A50BD6">
        <w:t>Assessing affordability involves comparing house costs against the ability to pay. The ratio between lower quartile house prices and the lower quartile income or earnings can be used to assess the relative affordability of housing. The Ministry for Housing, Community and Local Governments publishes quarterly the ratio of lower quartile house price to lower quartile earnings by local authority (LQAR) as well as median house price to median earnings by local authority (MAR) e.g. income = £25,000, house price = £200,000.   House price: income ratio = £200,000/£25,000 = 8, (the house price is 8 times income).</w:t>
      </w:r>
    </w:p>
    <w:p w:rsidR="001559F5" w:rsidRPr="00A50BD6" w:rsidRDefault="001559F5" w:rsidP="001559F5">
      <w:pPr>
        <w:pStyle w:val="BodyText"/>
        <w:jc w:val="both"/>
        <w:rPr>
          <w:b/>
        </w:rPr>
      </w:pPr>
      <w:r w:rsidRPr="00A50BD6">
        <w:rPr>
          <w:b/>
        </w:rPr>
        <w:t>Affordable Housing (NPPF Definition)</w:t>
      </w:r>
    </w:p>
    <w:p w:rsidR="001559F5" w:rsidRPr="00A50BD6" w:rsidRDefault="001559F5" w:rsidP="001559F5">
      <w:pPr>
        <w:pStyle w:val="BodyText"/>
        <w:jc w:val="both"/>
        <w:rPr>
          <w:b/>
        </w:rPr>
      </w:pPr>
      <w:r w:rsidRPr="00A50BD6">
        <w:t>National Planning Policy Framework Annex 2: Glossary, Affordable Housing</w:t>
      </w:r>
    </w:p>
    <w:p w:rsidR="001559F5" w:rsidRPr="00A50BD6" w:rsidRDefault="001559F5" w:rsidP="001559F5">
      <w:pPr>
        <w:pStyle w:val="BodyText"/>
        <w:jc w:val="both"/>
        <w:rPr>
          <w:b/>
        </w:rPr>
      </w:pPr>
      <w:r w:rsidRPr="00A50BD6">
        <w:rPr>
          <w:b/>
        </w:rPr>
        <w:t>Affordable rented housing</w:t>
      </w:r>
    </w:p>
    <w:p w:rsidR="001559F5" w:rsidRPr="00A50BD6" w:rsidRDefault="001559F5" w:rsidP="001559F5">
      <w:pPr>
        <w:pStyle w:val="BodyText"/>
        <w:jc w:val="both"/>
      </w:pPr>
      <w:r w:rsidRPr="00A50BD6">
        <w:t>Rented housing let by registered providers of social housing to households who are eligible for social rented housing. Affordable Rent is not subject to the national rent regime but is subject to other rent controls that require a rent of no more than</w:t>
      </w:r>
      <w:r>
        <w:t xml:space="preserve"> 80% of the local market rent (i</w:t>
      </w:r>
      <w:r w:rsidRPr="00A50BD6">
        <w:t>ncluding service charges, where applicable). The national rent regime is the regime under which the social rents of tenants of social housing are set, with particular reference to the Guide to Social Rent Reforms (March 2001) and the Rent Influencing Regime Guidance (October 2001). Local market rents are calculated using the Royal Institution for Chartered Surveyors (RICS) approved valuation methods</w:t>
      </w:r>
      <w:r w:rsidRPr="00A50BD6">
        <w:rPr>
          <w:rStyle w:val="FootnoteReference"/>
        </w:rPr>
        <w:footnoteReference w:id="1"/>
      </w:r>
      <w:r w:rsidRPr="00A50BD6">
        <w:t xml:space="preserve">. </w:t>
      </w:r>
    </w:p>
    <w:p w:rsidR="001559F5" w:rsidRPr="00A50BD6" w:rsidRDefault="001559F5" w:rsidP="001559F5">
      <w:pPr>
        <w:pStyle w:val="BodyText"/>
        <w:jc w:val="both"/>
        <w:rPr>
          <w:b/>
        </w:rPr>
      </w:pPr>
      <w:r w:rsidRPr="00A50BD6">
        <w:rPr>
          <w:b/>
        </w:rPr>
        <w:t>Annual Monitoring Report</w:t>
      </w:r>
    </w:p>
    <w:p w:rsidR="001559F5" w:rsidRPr="00A50BD6" w:rsidRDefault="001559F5" w:rsidP="001559F5">
      <w:pPr>
        <w:pStyle w:val="BodyText"/>
        <w:jc w:val="both"/>
      </w:pPr>
      <w:r w:rsidRPr="00A50BD6">
        <w:t>A report submitted to the Government by local planning authorities assessing progress with and the effectiveness of a Local Development Framework.</w:t>
      </w:r>
    </w:p>
    <w:p w:rsidR="001559F5" w:rsidRPr="00A50BD6" w:rsidRDefault="001559F5" w:rsidP="001559F5">
      <w:pPr>
        <w:pStyle w:val="BodyText"/>
        <w:jc w:val="both"/>
        <w:rPr>
          <w:b/>
        </w:rPr>
      </w:pPr>
      <w:r w:rsidRPr="00A50BD6">
        <w:rPr>
          <w:b/>
        </w:rPr>
        <w:t xml:space="preserve">Basic Conditions </w:t>
      </w:r>
    </w:p>
    <w:p w:rsidR="001559F5" w:rsidRPr="00A50BD6" w:rsidRDefault="001559F5" w:rsidP="001559F5">
      <w:pPr>
        <w:pStyle w:val="BodyText"/>
        <w:jc w:val="both"/>
      </w:pPr>
      <w:r w:rsidRPr="00A50BD6">
        <w:t xml:space="preserve">The basic conditions are the legal tests that are made at the examination stage of neighbourhood plans. They need to be met before a plan can progress to referendum. </w:t>
      </w:r>
    </w:p>
    <w:p w:rsidR="001559F5" w:rsidRPr="00A50BD6" w:rsidRDefault="001559F5" w:rsidP="001559F5">
      <w:pPr>
        <w:jc w:val="both"/>
        <w:rPr>
          <w:b/>
        </w:rPr>
      </w:pPr>
      <w:r w:rsidRPr="00A50BD6">
        <w:rPr>
          <w:b/>
        </w:rPr>
        <w:t>Backlog need</w:t>
      </w:r>
    </w:p>
    <w:p w:rsidR="001559F5" w:rsidRPr="00A50BD6" w:rsidRDefault="001559F5" w:rsidP="001559F5">
      <w:pPr>
        <w:pStyle w:val="BodyText"/>
        <w:jc w:val="both"/>
      </w:pPr>
      <w:r w:rsidRPr="00A50BD6">
        <w:t xml:space="preserve">The backlog need constitutes those households who are eligible for Affordable Housing, on account of homelessness, over-crowding, concealment or affordability, but who are yet to be offered a home suited to their needs. </w:t>
      </w:r>
    </w:p>
    <w:p w:rsidR="001559F5" w:rsidRPr="00A50BD6" w:rsidRDefault="001559F5" w:rsidP="001559F5">
      <w:pPr>
        <w:jc w:val="both"/>
      </w:pPr>
      <w:r w:rsidRPr="00A50BD6">
        <w:rPr>
          <w:b/>
        </w:rPr>
        <w:t>Bedroom Standard</w:t>
      </w:r>
      <w:r w:rsidRPr="00A50BD6">
        <w:rPr>
          <w:rStyle w:val="FootnoteReference"/>
          <w:b/>
        </w:rPr>
        <w:footnoteReference w:id="2"/>
      </w:r>
    </w:p>
    <w:p w:rsidR="001559F5" w:rsidRDefault="001559F5" w:rsidP="001559F5">
      <w:pPr>
        <w:pStyle w:val="BodyText"/>
        <w:jc w:val="both"/>
      </w:pPr>
      <w:r w:rsidRPr="00A50BD6">
        <w:t>The bedroom standard is a measure of occupancy (whether a property is overcrowded or under</w:t>
      </w:r>
      <w:r w:rsidRPr="00A50BD6">
        <w:rPr>
          <w:rFonts w:ascii="Cambria Math" w:hAnsi="Cambria Math" w:cs="Cambria Math"/>
        </w:rPr>
        <w:t>‐</w:t>
      </w:r>
      <w:r w:rsidRPr="00A50BD6">
        <w:t>occupied, based on the number of bedrooms in a property and the type of household in residence). The Census overcrowding data is based on occupancy rating (overcrowding by number of rooms not including bathrooms and hallways). This tends to produce higher levels of overcrowding/ under occupation. A detailed definition of the standard is given in the Glossary of the EHS Household Report.</w:t>
      </w:r>
    </w:p>
    <w:p w:rsidR="001559F5" w:rsidRDefault="001559F5" w:rsidP="001559F5">
      <w:pPr>
        <w:spacing w:line="240" w:lineRule="auto"/>
      </w:pPr>
      <w:r>
        <w:br w:type="page"/>
      </w:r>
    </w:p>
    <w:p w:rsidR="001559F5" w:rsidRPr="00A50BD6" w:rsidRDefault="001559F5" w:rsidP="001559F5">
      <w:pPr>
        <w:pStyle w:val="BodyText"/>
        <w:jc w:val="both"/>
        <w:rPr>
          <w:b/>
        </w:rPr>
      </w:pPr>
      <w:r w:rsidRPr="00A50BD6">
        <w:rPr>
          <w:b/>
        </w:rPr>
        <w:lastRenderedPageBreak/>
        <w:t>Co-living</w:t>
      </w:r>
    </w:p>
    <w:p w:rsidR="001559F5" w:rsidRPr="00A50BD6" w:rsidRDefault="001559F5" w:rsidP="001559F5">
      <w:pPr>
        <w:pStyle w:val="BodyText"/>
        <w:jc w:val="both"/>
      </w:pPr>
      <w:r w:rsidRPr="00A50BD6">
        <w:t>Co-living denotes people who do not have family ties sharing either a self-contained dwelling (i.e., a 'house share') or new development akin to student housing in which people have a bedroom and bathroom to themselves, but share living and kitchen space with others. In co-living schemes each individual represents a separate 'household'.</w:t>
      </w:r>
    </w:p>
    <w:p w:rsidR="001559F5" w:rsidRPr="00A50BD6" w:rsidRDefault="001559F5" w:rsidP="001559F5">
      <w:pPr>
        <w:pStyle w:val="BodyText"/>
        <w:jc w:val="both"/>
        <w:rPr>
          <w:b/>
        </w:rPr>
      </w:pPr>
      <w:r w:rsidRPr="00A50BD6">
        <w:rPr>
          <w:b/>
        </w:rPr>
        <w:t>Community Led Housing/Community Land Trusts</w:t>
      </w:r>
    </w:p>
    <w:p w:rsidR="001559F5" w:rsidRPr="00A50BD6" w:rsidRDefault="001559F5" w:rsidP="001559F5">
      <w:pPr>
        <w:pStyle w:val="BodyText"/>
        <w:jc w:val="both"/>
      </w:pPr>
      <w:r w:rsidRPr="00A50BD6">
        <w:t>Housing development, provision and management that is led by the community is very often driven by a need to secure affordable housing for local people in the belief that housing that comes through the planning system may be neither the right tenure or price-point to be attractive or affordable to local people. The principle forms of community-led models include cooperatives, co-housing communities, self-help housing, community self-build housing, collective custom-build housing, and community land trusts. By bringing forward development which is owned by the community, the community is able to set rents and/or mortgage payments at a rate that it feels is appropriate. The Government has a range of support programmes for people interested in bringing forward community led housing.</w:t>
      </w:r>
    </w:p>
    <w:p w:rsidR="001559F5" w:rsidRPr="00A50BD6" w:rsidRDefault="001559F5" w:rsidP="001559F5">
      <w:pPr>
        <w:pStyle w:val="BodyText"/>
        <w:jc w:val="both"/>
        <w:rPr>
          <w:b/>
        </w:rPr>
      </w:pPr>
      <w:r w:rsidRPr="00A50BD6">
        <w:rPr>
          <w:b/>
        </w:rPr>
        <w:t>Community Right to Build Order</w:t>
      </w:r>
      <w:r w:rsidRPr="00A50BD6">
        <w:rPr>
          <w:rStyle w:val="FootnoteReference"/>
          <w:b/>
        </w:rPr>
        <w:footnoteReference w:id="3"/>
      </w:r>
    </w:p>
    <w:p w:rsidR="001559F5" w:rsidRPr="00A50BD6" w:rsidRDefault="001559F5" w:rsidP="001559F5">
      <w:pPr>
        <w:pStyle w:val="BodyText"/>
        <w:jc w:val="both"/>
      </w:pPr>
      <w:r w:rsidRPr="00A50BD6">
        <w:t>An Order made by the local planning authority (under the Town and Country Planning Act 1990) that grants planning permission for a site-specific development proposal or classes of development.</w:t>
      </w:r>
    </w:p>
    <w:p w:rsidR="001559F5" w:rsidRPr="00A50BD6" w:rsidRDefault="001559F5" w:rsidP="001559F5">
      <w:pPr>
        <w:pStyle w:val="BodyText"/>
        <w:jc w:val="both"/>
        <w:rPr>
          <w:b/>
        </w:rPr>
      </w:pPr>
      <w:r w:rsidRPr="00A50BD6">
        <w:rPr>
          <w:b/>
        </w:rPr>
        <w:t>Concealed Families (Census Definition)</w:t>
      </w:r>
      <w:r w:rsidRPr="00A50BD6">
        <w:rPr>
          <w:rStyle w:val="FootnoteReference"/>
          <w:b/>
        </w:rPr>
        <w:footnoteReference w:id="4"/>
      </w:r>
    </w:p>
    <w:p w:rsidR="001559F5" w:rsidRPr="00A50BD6" w:rsidRDefault="001559F5" w:rsidP="001559F5">
      <w:pPr>
        <w:pStyle w:val="BodyText"/>
        <w:jc w:val="both"/>
      </w:pPr>
      <w:r w:rsidRPr="00A50BD6">
        <w:t>The 2011 Census defined a concealed family as one with young adults living with a partner and/or child/children in the same household as their parents, older couples living with an adult child and their family or unrelated families sharing a household. A single person cannot be a concealed family; therefore one elderly parent living with their adult child and family or an adult child returning to the parental home is not a concealed family; the latter are reported in an ONS analysis on increasing numbers of young adults living with parents.</w:t>
      </w:r>
    </w:p>
    <w:p w:rsidR="001559F5" w:rsidRPr="00A50BD6" w:rsidRDefault="001559F5" w:rsidP="001559F5">
      <w:pPr>
        <w:pStyle w:val="BodyText"/>
        <w:jc w:val="both"/>
        <w:rPr>
          <w:b/>
        </w:rPr>
      </w:pPr>
      <w:r w:rsidRPr="00A50BD6">
        <w:rPr>
          <w:b/>
        </w:rPr>
        <w:t>Equity Loans/Shared Equity</w:t>
      </w:r>
    </w:p>
    <w:p w:rsidR="001559F5" w:rsidRPr="00A50BD6" w:rsidRDefault="001559F5" w:rsidP="001559F5">
      <w:pPr>
        <w:pStyle w:val="BodyText"/>
        <w:jc w:val="both"/>
      </w:pPr>
      <w:r w:rsidRPr="00A50BD6">
        <w:t>An equity loan which acts as a second charge on a property. For example, a household buys a £200,000 property with a 10% equity loan (£20,000). They pay a small amount for the loan and when the property is sold e.g. for £250,000 the lender receives 10% of the sale cost (£25,000). Some equity loans were available for the purchase of existing stock. The current scheme is to assist people to buy new build.</w:t>
      </w:r>
    </w:p>
    <w:p w:rsidR="001559F5" w:rsidRPr="00A50BD6" w:rsidRDefault="001559F5" w:rsidP="001559F5">
      <w:pPr>
        <w:pStyle w:val="BodyText"/>
        <w:jc w:val="both"/>
        <w:rPr>
          <w:b/>
        </w:rPr>
      </w:pPr>
      <w:r w:rsidRPr="00A50BD6">
        <w:rPr>
          <w:b/>
        </w:rPr>
        <w:t>Extra Care Housing</w:t>
      </w:r>
      <w:r w:rsidRPr="00A50BD6">
        <w:rPr>
          <w:rStyle w:val="FootnoteReference"/>
          <w:b/>
        </w:rPr>
        <w:footnoteReference w:id="5"/>
      </w:r>
    </w:p>
    <w:p w:rsidR="001559F5" w:rsidRPr="00A50BD6" w:rsidRDefault="001559F5" w:rsidP="001559F5">
      <w:pPr>
        <w:pStyle w:val="BodyText"/>
        <w:jc w:val="both"/>
      </w:pPr>
      <w:r w:rsidRPr="00A50BD6">
        <w:t xml:space="preserve">New forms of sheltered housing and retirement housing have been pioneered in recent years, to cater for older people who are becoming frailer and less able to manage day-to-day tasks without assistance. Extra Care Housing is housing designed with the needs of frailer older people in mind and with varying levels of care and support available on site. People who live in Extra Care Housing have their own self-contained homes, their own front doors and a legal right to occupy the property. Extra Care Housing is also known as very or enhanced sheltered housing, assisted living, or simply as 'housing with care'. It comes in many built forms, including blocks of flats, bungalow estates and retirement villages. It is a popular choice among older people because it can sometimes provide an alternative to a care home. In addition to the communal facilities often found in sheltered housing (residents' lounge, guest suite, laundry), Extra Care often includes a restaurant or dining room, health &amp; fitness facilities, hobby rooms and even computer rooms. Domestic support and personal care are available, usually provided by on-site staff. Properties can be rented, owned or part owned/part rented. There is a limited (though increasing) amount of Extra Care Housing in most areas and most providers set eligibility criteria which prospective residents have to meet. </w:t>
      </w:r>
    </w:p>
    <w:p w:rsidR="001559F5" w:rsidRPr="00A50BD6" w:rsidRDefault="001559F5" w:rsidP="001559F5">
      <w:pPr>
        <w:pStyle w:val="BodyText"/>
        <w:jc w:val="both"/>
        <w:rPr>
          <w:b/>
        </w:rPr>
      </w:pPr>
      <w:r w:rsidRPr="00A50BD6">
        <w:rPr>
          <w:b/>
        </w:rPr>
        <w:t>Fair Share</w:t>
      </w:r>
    </w:p>
    <w:p w:rsidR="001559F5" w:rsidRDefault="001559F5" w:rsidP="001559F5">
      <w:pPr>
        <w:pStyle w:val="BodyText"/>
        <w:jc w:val="both"/>
      </w:pPr>
      <w:r w:rsidRPr="00A50BD6">
        <w:t xml:space="preserve">'Fair share' is an approach to determining housing need within a given geographical area based on a proportional split according to the size of the area, the number of </w:t>
      </w:r>
      <w:r>
        <w:t>homes in it, or its population.</w:t>
      </w:r>
    </w:p>
    <w:p w:rsidR="001559F5" w:rsidRDefault="001559F5" w:rsidP="001559F5">
      <w:pPr>
        <w:spacing w:line="240" w:lineRule="auto"/>
      </w:pPr>
      <w:r>
        <w:br w:type="page"/>
      </w:r>
    </w:p>
    <w:p w:rsidR="001559F5" w:rsidRPr="00A50BD6" w:rsidRDefault="001559F5" w:rsidP="001559F5">
      <w:pPr>
        <w:pStyle w:val="BodyText"/>
        <w:jc w:val="both"/>
        <w:rPr>
          <w:b/>
        </w:rPr>
      </w:pPr>
      <w:r w:rsidRPr="00A50BD6">
        <w:rPr>
          <w:b/>
        </w:rPr>
        <w:lastRenderedPageBreak/>
        <w:t>Habitable Rooms</w:t>
      </w:r>
    </w:p>
    <w:p w:rsidR="001559F5" w:rsidRPr="00A50BD6" w:rsidRDefault="001559F5" w:rsidP="001559F5">
      <w:pPr>
        <w:pStyle w:val="BodyText"/>
        <w:jc w:val="both"/>
      </w:pPr>
      <w:r w:rsidRPr="00A50BD6">
        <w:t>The number of habitable rooms in a home is the total number of rooms, excluding bathrooms, toilets and halls.</w:t>
      </w:r>
    </w:p>
    <w:p w:rsidR="001559F5" w:rsidRPr="00A50BD6" w:rsidRDefault="001559F5" w:rsidP="001559F5">
      <w:pPr>
        <w:pStyle w:val="BodyText"/>
        <w:jc w:val="both"/>
        <w:rPr>
          <w:b/>
        </w:rPr>
      </w:pPr>
      <w:r w:rsidRPr="00A50BD6">
        <w:rPr>
          <w:b/>
        </w:rPr>
        <w:t>Household Reference Person (HRP)</w:t>
      </w:r>
    </w:p>
    <w:p w:rsidR="001559F5" w:rsidRPr="00A50BD6" w:rsidRDefault="001559F5" w:rsidP="001559F5">
      <w:pPr>
        <w:pStyle w:val="BodyText"/>
        <w:jc w:val="both"/>
      </w:pPr>
      <w:r w:rsidRPr="00A50BD6">
        <w:t xml:space="preserve">The concept of a Household Reference Person (HRP) was introduced in the 2001 Census (in common with other government surveys in 2001/2) to replace the traditional concept of the head of the household. HRPs provide an individual person within a household to act as a reference point for producing further derived statistics and for characterising a whole household according to characteristics of the chosen reference person. </w:t>
      </w:r>
    </w:p>
    <w:p w:rsidR="001559F5" w:rsidRPr="00A50BD6" w:rsidRDefault="001559F5" w:rsidP="001559F5">
      <w:pPr>
        <w:pStyle w:val="BodyText"/>
        <w:jc w:val="both"/>
        <w:rPr>
          <w:b/>
        </w:rPr>
      </w:pPr>
      <w:r w:rsidRPr="00A50BD6">
        <w:rPr>
          <w:b/>
        </w:rPr>
        <w:t xml:space="preserve">Housing Market Area </w:t>
      </w:r>
    </w:p>
    <w:p w:rsidR="001559F5" w:rsidRPr="00A50BD6" w:rsidRDefault="001559F5" w:rsidP="001559F5">
      <w:pPr>
        <w:pStyle w:val="BodyText"/>
        <w:jc w:val="both"/>
      </w:pPr>
      <w:r w:rsidRPr="00A50BD6">
        <w:t>A housing market area is a geographical area defined by household demand and preferences for all types of housing, reflecting the key functional linkages between places where people live and work. It might be the case that housing market areas overlap.</w:t>
      </w:r>
    </w:p>
    <w:p w:rsidR="001559F5" w:rsidRPr="00A50BD6" w:rsidRDefault="001559F5" w:rsidP="001559F5">
      <w:pPr>
        <w:pStyle w:val="BodyText"/>
        <w:jc w:val="both"/>
      </w:pPr>
      <w:r w:rsidRPr="00A50BD6">
        <w:t>The extent of the housing market areas identified will vary, and many will in practice cut across various local planning authority administrative boundaries. Local planning authorities should work with all the other constituent authorities under the duty to cooperate.</w:t>
      </w:r>
    </w:p>
    <w:p w:rsidR="001559F5" w:rsidRPr="00A50BD6" w:rsidRDefault="001559F5" w:rsidP="001559F5">
      <w:pPr>
        <w:pStyle w:val="BodyText"/>
        <w:jc w:val="both"/>
        <w:rPr>
          <w:b/>
        </w:rPr>
      </w:pPr>
      <w:r w:rsidRPr="00A50BD6">
        <w:rPr>
          <w:b/>
        </w:rPr>
        <w:t>Housing Needs</w:t>
      </w:r>
    </w:p>
    <w:p w:rsidR="001559F5" w:rsidRPr="00A50BD6" w:rsidRDefault="001559F5" w:rsidP="001559F5">
      <w:pPr>
        <w:pStyle w:val="BodyText"/>
        <w:jc w:val="both"/>
      </w:pPr>
      <w:r w:rsidRPr="00A50BD6">
        <w:t>There is no official definition of housing need in either the National Planning Policy Framework or the National Planning Practice Guidance. Clearly, individuals have their own housing needs. The process of understanding housing needs at a population scale is undertaken via the preparation of a Strategic Housing Market Assessment (see below).</w:t>
      </w:r>
    </w:p>
    <w:p w:rsidR="001559F5" w:rsidRPr="00A50BD6" w:rsidRDefault="001559F5" w:rsidP="001559F5">
      <w:pPr>
        <w:pStyle w:val="BodyText"/>
        <w:jc w:val="both"/>
        <w:rPr>
          <w:b/>
        </w:rPr>
      </w:pPr>
      <w:r w:rsidRPr="00A50BD6">
        <w:rPr>
          <w:b/>
        </w:rPr>
        <w:t>Housing Needs Assessment</w:t>
      </w:r>
    </w:p>
    <w:p w:rsidR="001559F5" w:rsidRPr="00A50BD6" w:rsidRDefault="001559F5" w:rsidP="001559F5">
      <w:pPr>
        <w:pStyle w:val="BodyText"/>
        <w:jc w:val="both"/>
      </w:pPr>
      <w:r w:rsidRPr="00A50BD6">
        <w:t>A Housing Needs Assessment (HNA) is an assessment of housing needs at the Neighbourhood Area level.</w:t>
      </w:r>
    </w:p>
    <w:p w:rsidR="001559F5" w:rsidRPr="00A50BD6" w:rsidRDefault="001559F5" w:rsidP="001559F5">
      <w:pPr>
        <w:pStyle w:val="BodyText"/>
        <w:jc w:val="both"/>
        <w:rPr>
          <w:b/>
        </w:rPr>
      </w:pPr>
      <w:r w:rsidRPr="00A50BD6">
        <w:rPr>
          <w:b/>
        </w:rPr>
        <w:t>Housing Products</w:t>
      </w:r>
    </w:p>
    <w:p w:rsidR="001559F5" w:rsidRPr="00A50BD6" w:rsidRDefault="001559F5" w:rsidP="001559F5">
      <w:pPr>
        <w:pStyle w:val="BodyText"/>
        <w:jc w:val="both"/>
      </w:pPr>
      <w:r w:rsidRPr="00A50BD6">
        <w:t>Housing products simply refers to different types of housing as they are produced by developers of various kinds (including councils and housing associations). Housing products usually refers to specific tenures and types of new build housing, such as Starter Homes, the Government’s flagship ‘housing product’.</w:t>
      </w:r>
    </w:p>
    <w:p w:rsidR="001559F5" w:rsidRPr="00A50BD6" w:rsidRDefault="001559F5" w:rsidP="001559F5">
      <w:pPr>
        <w:pStyle w:val="BodyText"/>
        <w:jc w:val="both"/>
        <w:rPr>
          <w:b/>
        </w:rPr>
      </w:pPr>
      <w:r w:rsidRPr="00A50BD6">
        <w:rPr>
          <w:b/>
        </w:rPr>
        <w:t>Housing Size (Census Definition)</w:t>
      </w:r>
    </w:p>
    <w:p w:rsidR="001559F5" w:rsidRPr="00A50BD6" w:rsidRDefault="001559F5" w:rsidP="001559F5">
      <w:pPr>
        <w:pStyle w:val="BodyText"/>
        <w:jc w:val="both"/>
      </w:pPr>
      <w:r w:rsidRPr="00A50BD6">
        <w:t xml:space="preserve">Housing size can be referred to either in terms of the number of bedrooms in a home (a bedroom is defined as any room that was intended to be used as a bedroom when the property was built, any rooms permanently converted for use as bedrooms); or in terms of the number of rooms, excluding bathrooms, toilets halls or landings, or rooms that can only be used for storage. All other rooms, for example, kitchens, living rooms, bedrooms, utility rooms, studies and conservatories are counted.  If two rooms have been converted into one they are counted as one room. Rooms shared between more than one household, for example a shared kitchen, are not counted. </w:t>
      </w:r>
    </w:p>
    <w:p w:rsidR="001559F5" w:rsidRPr="00A50BD6" w:rsidRDefault="001559F5" w:rsidP="001559F5">
      <w:pPr>
        <w:pStyle w:val="BodyText"/>
        <w:jc w:val="both"/>
        <w:rPr>
          <w:b/>
        </w:rPr>
      </w:pPr>
      <w:r w:rsidRPr="00A50BD6">
        <w:rPr>
          <w:b/>
        </w:rPr>
        <w:t>Housing Type (Census Definition)</w:t>
      </w:r>
    </w:p>
    <w:p w:rsidR="001559F5" w:rsidRPr="00A50BD6" w:rsidRDefault="001559F5" w:rsidP="001559F5">
      <w:pPr>
        <w:pStyle w:val="BodyText"/>
        <w:jc w:val="both"/>
      </w:pPr>
      <w:r w:rsidRPr="00A50BD6">
        <w:t>This refers to the type of accommodation used or available for use by an individual household (i.e. detached, semi-detached, terraced including end of terraced, and flats). Flats are broken down into those in a purpose-built block of flats, in parts of a converted or shared house, or in a commercial building.</w:t>
      </w:r>
    </w:p>
    <w:p w:rsidR="001559F5" w:rsidRPr="00A50BD6" w:rsidRDefault="001559F5" w:rsidP="001559F5">
      <w:pPr>
        <w:pStyle w:val="BodyText"/>
        <w:jc w:val="both"/>
        <w:rPr>
          <w:b/>
        </w:rPr>
      </w:pPr>
      <w:r w:rsidRPr="00A50BD6">
        <w:rPr>
          <w:b/>
        </w:rPr>
        <w:t>Housing Tenure (Census Definition)</w:t>
      </w:r>
    </w:p>
    <w:p w:rsidR="001559F5" w:rsidRPr="00A50BD6" w:rsidRDefault="001559F5" w:rsidP="001559F5">
      <w:pPr>
        <w:pStyle w:val="BodyText"/>
        <w:jc w:val="both"/>
      </w:pPr>
      <w:r w:rsidRPr="00A50BD6">
        <w:t xml:space="preserve">Tenure provides information about whether a household rents or owns the accommodation that it occupies and, if rented, combines this with information about the type of landlord who owns or manages the accommodation. </w:t>
      </w:r>
    </w:p>
    <w:p w:rsidR="001559F5" w:rsidRPr="00A50BD6" w:rsidRDefault="001559F5" w:rsidP="001559F5">
      <w:pPr>
        <w:pStyle w:val="BodyText"/>
        <w:jc w:val="both"/>
        <w:rPr>
          <w:b/>
        </w:rPr>
      </w:pPr>
      <w:r w:rsidRPr="00A50BD6">
        <w:rPr>
          <w:b/>
        </w:rPr>
        <w:t>Income Threshold</w:t>
      </w:r>
    </w:p>
    <w:p w:rsidR="001559F5" w:rsidRDefault="001559F5" w:rsidP="001559F5">
      <w:pPr>
        <w:pStyle w:val="BodyText"/>
        <w:jc w:val="both"/>
      </w:pPr>
      <w:r w:rsidRPr="00A50BD6">
        <w:t xml:space="preserve">Income thresholds are derived as a result of the </w:t>
      </w:r>
      <w:proofErr w:type="spellStart"/>
      <w:r w:rsidRPr="00A50BD6">
        <w:t>annualisation</w:t>
      </w:r>
      <w:proofErr w:type="spellEnd"/>
      <w:r w:rsidRPr="00A50BD6">
        <w:t xml:space="preserve"> of the monthly rental cost and then asserting this cost should not exceed </w:t>
      </w:r>
      <w:r>
        <w:t>35% of annual household income.</w:t>
      </w:r>
    </w:p>
    <w:p w:rsidR="001559F5" w:rsidRDefault="001559F5" w:rsidP="001559F5">
      <w:pPr>
        <w:spacing w:line="240" w:lineRule="auto"/>
      </w:pPr>
      <w:r>
        <w:br w:type="page"/>
      </w:r>
    </w:p>
    <w:p w:rsidR="001559F5" w:rsidRPr="00A50BD6" w:rsidRDefault="001559F5" w:rsidP="001559F5">
      <w:pPr>
        <w:pStyle w:val="BodyText"/>
        <w:jc w:val="both"/>
        <w:rPr>
          <w:b/>
        </w:rPr>
      </w:pPr>
      <w:proofErr w:type="spellStart"/>
      <w:r w:rsidRPr="00A50BD6">
        <w:rPr>
          <w:b/>
        </w:rPr>
        <w:lastRenderedPageBreak/>
        <w:t>Intercensal</w:t>
      </w:r>
      <w:proofErr w:type="spellEnd"/>
      <w:r w:rsidRPr="00A50BD6">
        <w:rPr>
          <w:b/>
        </w:rPr>
        <w:t xml:space="preserve"> Period</w:t>
      </w:r>
    </w:p>
    <w:p w:rsidR="001559F5" w:rsidRPr="00A50BD6" w:rsidRDefault="001559F5" w:rsidP="001559F5">
      <w:pPr>
        <w:pStyle w:val="BodyText"/>
        <w:jc w:val="both"/>
      </w:pPr>
      <w:r w:rsidRPr="00A50BD6">
        <w:t>This means the period between the last two Censuses, i.e. between years 2001 and 2011.</w:t>
      </w:r>
    </w:p>
    <w:p w:rsidR="001559F5" w:rsidRPr="00A50BD6" w:rsidRDefault="001559F5" w:rsidP="001559F5">
      <w:pPr>
        <w:pStyle w:val="BodyText"/>
        <w:jc w:val="both"/>
        <w:rPr>
          <w:b/>
        </w:rPr>
      </w:pPr>
      <w:r w:rsidRPr="00A50BD6">
        <w:rPr>
          <w:b/>
        </w:rPr>
        <w:t>Intermediate Housing</w:t>
      </w:r>
    </w:p>
    <w:p w:rsidR="001559F5" w:rsidRPr="00A50BD6" w:rsidRDefault="001559F5" w:rsidP="001559F5">
      <w:pPr>
        <w:pStyle w:val="ListNumber"/>
        <w:numPr>
          <w:ilvl w:val="0"/>
          <w:numId w:val="0"/>
        </w:numPr>
        <w:jc w:val="both"/>
      </w:pPr>
      <w:r w:rsidRPr="00A50BD6">
        <w:rPr>
          <w:lang w:val="en-GB"/>
        </w:rPr>
        <w:t>Intermediate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 Homes that do not meet the above definition of affordable housing, such as ‘low cost market’ housing, may not be considered as affordable housing for planning purposes.</w:t>
      </w:r>
    </w:p>
    <w:p w:rsidR="001559F5" w:rsidRPr="00A50BD6" w:rsidRDefault="001559F5" w:rsidP="001559F5">
      <w:pPr>
        <w:pStyle w:val="BodyText"/>
        <w:jc w:val="both"/>
        <w:rPr>
          <w:b/>
        </w:rPr>
      </w:pPr>
      <w:r w:rsidRPr="00A50BD6">
        <w:rPr>
          <w:b/>
        </w:rPr>
        <w:t>Life Stage modelling</w:t>
      </w:r>
    </w:p>
    <w:p w:rsidR="001559F5" w:rsidRPr="00A50BD6" w:rsidRDefault="001559F5" w:rsidP="001559F5">
      <w:pPr>
        <w:pStyle w:val="BodyText"/>
        <w:jc w:val="both"/>
      </w:pPr>
      <w:r w:rsidRPr="00A50BD6">
        <w:t xml:space="preserve">Life Stage modelling is forecasting need for dwellings of different sizes </w:t>
      </w:r>
      <w:r>
        <w:t>by</w:t>
      </w:r>
      <w:r w:rsidRPr="00A50BD6">
        <w:t xml:space="preserve"> the end of the Plan period on the basis of changes in the distribution of household types and key age brackets (life stages) within the NA. Given the shared behavioural patterns associated with these metrics, they provide a helpful way of understanding and predicting future community need. This dat</w:t>
      </w:r>
      <w:r>
        <w:t>a is not available at neighbourhood</w:t>
      </w:r>
      <w:r w:rsidRPr="00A50BD6">
        <w:t xml:space="preserve"> level so </w:t>
      </w:r>
      <w:r>
        <w:t>LPA</w:t>
      </w:r>
      <w:r w:rsidRPr="00A50BD6">
        <w:t xml:space="preserve"> level data is employed on the </w:t>
      </w:r>
      <w:r>
        <w:t>basis of the NA falling within its</w:t>
      </w:r>
      <w:r w:rsidRPr="00A50BD6">
        <w:t xml:space="preserve"> defined Housing Market Area.</w:t>
      </w:r>
    </w:p>
    <w:p w:rsidR="001559F5" w:rsidRPr="00A50BD6" w:rsidRDefault="001559F5" w:rsidP="001559F5">
      <w:pPr>
        <w:pStyle w:val="BodyText"/>
        <w:jc w:val="both"/>
        <w:rPr>
          <w:b/>
        </w:rPr>
      </w:pPr>
      <w:r w:rsidRPr="00A50BD6">
        <w:rPr>
          <w:b/>
        </w:rPr>
        <w:t>Life-time Homes</w:t>
      </w:r>
    </w:p>
    <w:p w:rsidR="001559F5" w:rsidRPr="00A50BD6" w:rsidRDefault="001559F5" w:rsidP="001559F5">
      <w:pPr>
        <w:pStyle w:val="BodyText"/>
        <w:jc w:val="both"/>
      </w:pPr>
      <w:r w:rsidRPr="00A50BD6">
        <w:t xml:space="preserve">Dwellings constructed to make them more flexible, convenient adaptable and accessible than most ‘normal’ houses, usually according to the Lifetime Homes Standard, 16 design criteria that can be applied to new homes at minimal cost: </w:t>
      </w:r>
      <w:hyperlink r:id="rId7" w:history="1">
        <w:r w:rsidRPr="00A50BD6">
          <w:rPr>
            <w:rStyle w:val="Hyperlink"/>
          </w:rPr>
          <w:t>http://www.lifetimehomes.org.uk/</w:t>
        </w:r>
      </w:hyperlink>
      <w:r w:rsidRPr="00A50BD6">
        <w:t xml:space="preserve">. </w:t>
      </w:r>
    </w:p>
    <w:p w:rsidR="001559F5" w:rsidRPr="00A50BD6" w:rsidRDefault="001559F5" w:rsidP="001559F5">
      <w:pPr>
        <w:pStyle w:val="BodyText"/>
        <w:jc w:val="both"/>
        <w:rPr>
          <w:b/>
        </w:rPr>
      </w:pPr>
      <w:r w:rsidRPr="00A50BD6">
        <w:rPr>
          <w:b/>
        </w:rPr>
        <w:t xml:space="preserve">Life-time Neighbourhoods </w:t>
      </w:r>
    </w:p>
    <w:p w:rsidR="001559F5" w:rsidRPr="00A50BD6" w:rsidRDefault="001559F5" w:rsidP="001559F5">
      <w:pPr>
        <w:pStyle w:val="BodyText"/>
        <w:jc w:val="both"/>
      </w:pPr>
      <w:r w:rsidRPr="00A50BD6">
        <w:t>Lifetime neighbourhoods extend the principles of Lifetime Homes into the wider neighbourhood to ensure the public realm is designed in such a way to be as inclusive as possible and designed to address the needs of older people, for example providing more greenery and more walkable, better connected places.</w:t>
      </w:r>
    </w:p>
    <w:p w:rsidR="001559F5" w:rsidRPr="00A50BD6" w:rsidRDefault="001559F5" w:rsidP="001559F5">
      <w:pPr>
        <w:pStyle w:val="BodyText"/>
        <w:jc w:val="both"/>
        <w:rPr>
          <w:b/>
        </w:rPr>
      </w:pPr>
      <w:r w:rsidRPr="00A50BD6">
        <w:rPr>
          <w:b/>
        </w:rPr>
        <w:t>Local Development Order</w:t>
      </w:r>
    </w:p>
    <w:p w:rsidR="001559F5" w:rsidRPr="00A50BD6" w:rsidRDefault="001559F5" w:rsidP="001559F5">
      <w:pPr>
        <w:pStyle w:val="BodyText"/>
        <w:jc w:val="both"/>
      </w:pPr>
      <w:r w:rsidRPr="00A50BD6">
        <w:t>An Order made by a local planning authority (under the Town and Country Planning Act 1990) that grants planning permission for a specific development proposal or classes of development.</w:t>
      </w:r>
    </w:p>
    <w:p w:rsidR="001559F5" w:rsidRPr="00A50BD6" w:rsidRDefault="001559F5" w:rsidP="001559F5">
      <w:pPr>
        <w:pStyle w:val="BodyText"/>
        <w:jc w:val="both"/>
        <w:rPr>
          <w:b/>
          <w:bCs/>
        </w:rPr>
      </w:pPr>
      <w:r w:rsidRPr="00A50BD6">
        <w:rPr>
          <w:b/>
          <w:bCs/>
        </w:rPr>
        <w:t>Local Enterprise Partnership</w:t>
      </w:r>
    </w:p>
    <w:p w:rsidR="001559F5" w:rsidRPr="00A50BD6" w:rsidRDefault="001559F5" w:rsidP="001559F5">
      <w:pPr>
        <w:pStyle w:val="BodyText"/>
        <w:jc w:val="both"/>
      </w:pPr>
      <w:r w:rsidRPr="00A50BD6">
        <w:t>A body, designated by the Secretary of State for Communities and Local Government, established for the purpose of creating or improving the conditions for economic growth in an area.</w:t>
      </w:r>
    </w:p>
    <w:p w:rsidR="001559F5" w:rsidRPr="00A50BD6" w:rsidRDefault="001559F5" w:rsidP="001559F5">
      <w:pPr>
        <w:pStyle w:val="BodyText"/>
        <w:jc w:val="both"/>
        <w:rPr>
          <w:b/>
        </w:rPr>
      </w:pPr>
      <w:r w:rsidRPr="00A50BD6">
        <w:rPr>
          <w:b/>
        </w:rPr>
        <w:t>Local housing need (NPPF definition)</w:t>
      </w:r>
    </w:p>
    <w:p w:rsidR="001559F5" w:rsidRPr="00A50BD6" w:rsidRDefault="001559F5" w:rsidP="001559F5">
      <w:pPr>
        <w:pStyle w:val="BodyText"/>
        <w:jc w:val="both"/>
      </w:pPr>
      <w:r w:rsidRPr="00A50BD6">
        <w:t>The number of homes identified as being needed through the application of the standard method set out in national planning guidance (or, in the context of preparing strategic policies only, this may be calculated using a justified alternative approach as provided for in paragraph 60 of this Framework).</w:t>
      </w:r>
    </w:p>
    <w:p w:rsidR="001559F5" w:rsidRPr="00A50BD6" w:rsidRDefault="001559F5" w:rsidP="001559F5">
      <w:pPr>
        <w:pStyle w:val="BodyText"/>
        <w:jc w:val="both"/>
        <w:rPr>
          <w:b/>
        </w:rPr>
      </w:pPr>
      <w:r w:rsidRPr="00A50BD6">
        <w:rPr>
          <w:b/>
        </w:rPr>
        <w:t>Local Planning Authority</w:t>
      </w:r>
    </w:p>
    <w:p w:rsidR="001559F5" w:rsidRPr="00A50BD6" w:rsidRDefault="001559F5" w:rsidP="001559F5">
      <w:pPr>
        <w:pStyle w:val="BodyText"/>
        <w:jc w:val="both"/>
      </w:pPr>
      <w:r w:rsidRPr="00A50BD6">
        <w:t>The public authority whose duty it is to carry out specific planning functions for a particular area. All references to local planning a</w:t>
      </w:r>
      <w:r>
        <w:t>uthority apply to the District Council, London Borough Council, County C</w:t>
      </w:r>
      <w:r w:rsidRPr="00A50BD6">
        <w:t xml:space="preserve">ouncil, Broads Authority, National Park Authority </w:t>
      </w:r>
      <w:r>
        <w:t>or</w:t>
      </w:r>
      <w:r w:rsidRPr="00A50BD6">
        <w:t xml:space="preserve"> the Greater London Authority, to the extent appropriate to their responsibilities.</w:t>
      </w:r>
    </w:p>
    <w:p w:rsidR="001559F5" w:rsidRPr="00A50BD6" w:rsidRDefault="001559F5" w:rsidP="001559F5">
      <w:pPr>
        <w:pStyle w:val="BodyText"/>
        <w:jc w:val="both"/>
        <w:rPr>
          <w:b/>
          <w:bCs/>
        </w:rPr>
      </w:pPr>
      <w:r w:rsidRPr="00A50BD6">
        <w:rPr>
          <w:b/>
          <w:bCs/>
        </w:rPr>
        <w:t>Local Plan</w:t>
      </w:r>
    </w:p>
    <w:p w:rsidR="001559F5" w:rsidRDefault="001559F5" w:rsidP="001559F5">
      <w:pPr>
        <w:pStyle w:val="BodyText"/>
        <w:jc w:val="both"/>
      </w:pPr>
      <w:r w:rsidRPr="00A50BD6">
        <w:t>This is the plan for the future development of the local area, drawn up by the local planning authority in consultation with the community. In law this is described as the development plan documents adopted under the Planning and Compulsory Purchase Act 2004. Current core strategies or other planning policies form part of the Local Plan and are known as ‘</w:t>
      </w:r>
      <w:r>
        <w:t>Development Plan D</w:t>
      </w:r>
      <w:r w:rsidRPr="00A50BD6">
        <w:t>ocuments’</w:t>
      </w:r>
      <w:r>
        <w:t xml:space="preserve"> (DPDs)</w:t>
      </w:r>
      <w:r w:rsidRPr="00A50BD6">
        <w:t>.</w:t>
      </w:r>
    </w:p>
    <w:p w:rsidR="001559F5" w:rsidRDefault="001559F5" w:rsidP="001559F5">
      <w:pPr>
        <w:spacing w:line="240" w:lineRule="auto"/>
      </w:pPr>
      <w:r>
        <w:br w:type="page"/>
      </w:r>
    </w:p>
    <w:p w:rsidR="001559F5" w:rsidRPr="00A50BD6" w:rsidRDefault="001559F5" w:rsidP="001559F5">
      <w:pPr>
        <w:pStyle w:val="BodyText"/>
        <w:jc w:val="both"/>
        <w:rPr>
          <w:b/>
        </w:rPr>
      </w:pPr>
      <w:r w:rsidRPr="00A50BD6">
        <w:rPr>
          <w:b/>
        </w:rPr>
        <w:lastRenderedPageBreak/>
        <w:t>Lower Quartile</w:t>
      </w:r>
    </w:p>
    <w:p w:rsidR="001559F5" w:rsidRPr="00A50BD6" w:rsidRDefault="001559F5" w:rsidP="001559F5">
      <w:pPr>
        <w:pStyle w:val="BodyText"/>
        <w:jc w:val="both"/>
      </w:pPr>
      <w:r w:rsidRPr="00A50BD6">
        <w:t xml:space="preserve">The bottom 25% value, i.e. of all the properties sold, 25% were cheaper than this value and 75% were more expensive. The lower quartile price is used as an entry level price and is the recommended level used to evaluate affordability; for example for first time buyers. </w:t>
      </w:r>
    </w:p>
    <w:p w:rsidR="001559F5" w:rsidRPr="00A50BD6" w:rsidRDefault="001559F5" w:rsidP="001559F5">
      <w:pPr>
        <w:pStyle w:val="BodyText"/>
        <w:jc w:val="both"/>
        <w:rPr>
          <w:b/>
        </w:rPr>
      </w:pPr>
      <w:r w:rsidRPr="00A50BD6">
        <w:rPr>
          <w:b/>
        </w:rPr>
        <w:t>Lower Quartile Affordability Ratio</w:t>
      </w:r>
    </w:p>
    <w:p w:rsidR="001559F5" w:rsidRPr="00A50BD6" w:rsidRDefault="001559F5" w:rsidP="001559F5">
      <w:pPr>
        <w:pStyle w:val="BodyText"/>
        <w:jc w:val="both"/>
      </w:pPr>
      <w:r w:rsidRPr="00A50BD6">
        <w:t>The Lower Quartile Affordability Ratio reflects the relationship between Lower Quartile Household Incomes and Lower Quartile House Prices, and is a key indicator of affordability of market housing for people on relatively low incomes.</w:t>
      </w:r>
    </w:p>
    <w:p w:rsidR="001559F5" w:rsidRPr="00A50BD6" w:rsidRDefault="001559F5" w:rsidP="001559F5">
      <w:pPr>
        <w:pStyle w:val="BodyText"/>
        <w:jc w:val="both"/>
        <w:rPr>
          <w:b/>
        </w:rPr>
      </w:pPr>
      <w:r w:rsidRPr="00A50BD6">
        <w:rPr>
          <w:b/>
        </w:rPr>
        <w:t xml:space="preserve">Market Housing </w:t>
      </w:r>
    </w:p>
    <w:p w:rsidR="001559F5" w:rsidRPr="00A50BD6" w:rsidRDefault="001559F5" w:rsidP="001559F5">
      <w:pPr>
        <w:pStyle w:val="BodyText"/>
        <w:jc w:val="both"/>
      </w:pPr>
      <w:r w:rsidRPr="00A50BD6">
        <w:t>Market housing is housing which is built by developers (which may be private companies or housing associations, or Private Registered Providers), for the purposes of sale (or rent) on the open market.</w:t>
      </w:r>
    </w:p>
    <w:p w:rsidR="001559F5" w:rsidRPr="00A50BD6" w:rsidRDefault="001559F5" w:rsidP="001559F5">
      <w:pPr>
        <w:pStyle w:val="BodyText"/>
        <w:jc w:val="both"/>
        <w:rPr>
          <w:b/>
        </w:rPr>
      </w:pPr>
      <w:r w:rsidRPr="00A50BD6">
        <w:rPr>
          <w:b/>
        </w:rPr>
        <w:t>Mean (Average)</w:t>
      </w:r>
    </w:p>
    <w:p w:rsidR="001559F5" w:rsidRPr="00A50BD6" w:rsidRDefault="001559F5" w:rsidP="001559F5">
      <w:pPr>
        <w:pStyle w:val="BodyText"/>
        <w:jc w:val="both"/>
      </w:pPr>
      <w:r w:rsidRPr="00A50BD6">
        <w:t>The mean or the average is, mathematically, the sum of all values divided by the total number of values. This is the more commonly used “average” measure as it includes all values, unlike the median.</w:t>
      </w:r>
    </w:p>
    <w:p w:rsidR="001559F5" w:rsidRPr="00A50BD6" w:rsidRDefault="001559F5" w:rsidP="001559F5">
      <w:pPr>
        <w:pStyle w:val="BodyText"/>
        <w:jc w:val="both"/>
        <w:rPr>
          <w:b/>
        </w:rPr>
      </w:pPr>
      <w:r w:rsidRPr="00A50BD6">
        <w:rPr>
          <w:b/>
        </w:rPr>
        <w:t>Median</w:t>
      </w:r>
    </w:p>
    <w:p w:rsidR="001559F5" w:rsidRPr="00A50BD6" w:rsidRDefault="001559F5" w:rsidP="001559F5">
      <w:pPr>
        <w:pStyle w:val="BodyText"/>
        <w:jc w:val="both"/>
      </w:pPr>
      <w:r w:rsidRPr="00A50BD6">
        <w:t>The middle value, i.e. of all the properties sold, half were cheaper and half were more expensive. This is sometimes used instead of the mean average as it is not subject to skew by very large or very small statistical outliers.</w:t>
      </w:r>
    </w:p>
    <w:p w:rsidR="001559F5" w:rsidRPr="00A50BD6" w:rsidRDefault="001559F5" w:rsidP="001559F5">
      <w:pPr>
        <w:pStyle w:val="BodyText"/>
        <w:jc w:val="both"/>
        <w:rPr>
          <w:b/>
        </w:rPr>
      </w:pPr>
      <w:r w:rsidRPr="00A50BD6">
        <w:rPr>
          <w:b/>
        </w:rPr>
        <w:t>Median Affordability Ratio</w:t>
      </w:r>
    </w:p>
    <w:p w:rsidR="001559F5" w:rsidRPr="00A50BD6" w:rsidRDefault="001559F5" w:rsidP="001559F5">
      <w:pPr>
        <w:pStyle w:val="BodyText"/>
        <w:jc w:val="both"/>
      </w:pPr>
      <w:r w:rsidRPr="00A50BD6">
        <w:t>The Lower Quartile Affordability Ratio reflects the relationship between Median Household Incomes and Median House Prices, and is a key indicator of affordability of market housing for people on middle-range incomes.</w:t>
      </w:r>
    </w:p>
    <w:p w:rsidR="001559F5" w:rsidRPr="00A50BD6" w:rsidRDefault="001559F5" w:rsidP="001559F5">
      <w:pPr>
        <w:pStyle w:val="BodyText"/>
        <w:jc w:val="both"/>
        <w:rPr>
          <w:b/>
        </w:rPr>
      </w:pPr>
      <w:r w:rsidRPr="00A50BD6">
        <w:rPr>
          <w:b/>
        </w:rPr>
        <w:t>Mortgage Ratio</w:t>
      </w:r>
    </w:p>
    <w:p w:rsidR="001559F5" w:rsidRPr="00A50BD6" w:rsidRDefault="001559F5" w:rsidP="001559F5">
      <w:pPr>
        <w:pStyle w:val="BodyText"/>
        <w:jc w:val="both"/>
      </w:pPr>
      <w:r w:rsidRPr="00A50BD6">
        <w:t>The mortgage ratio is the ratio of mortgage value to income which is typically deemed acceptable by banks. Approximately 75% of all mortgage lending ratios fell below 4 in recent years</w:t>
      </w:r>
      <w:r w:rsidRPr="00A50BD6">
        <w:rPr>
          <w:rStyle w:val="FootnoteReference"/>
        </w:rPr>
        <w:footnoteReference w:id="6"/>
      </w:r>
      <w:r w:rsidRPr="00A50BD6">
        <w:t>, i.e. the total value of the mortgage was less than 4 times the annual income of the person who was granted the mortgage.</w:t>
      </w:r>
    </w:p>
    <w:p w:rsidR="001559F5" w:rsidRPr="00A50BD6" w:rsidRDefault="001559F5" w:rsidP="001559F5">
      <w:pPr>
        <w:pStyle w:val="BodyText"/>
        <w:jc w:val="both"/>
        <w:rPr>
          <w:b/>
          <w:bCs/>
        </w:rPr>
      </w:pPr>
      <w:r w:rsidRPr="00A50BD6">
        <w:rPr>
          <w:b/>
          <w:bCs/>
        </w:rPr>
        <w:t>Neighbourhood plan</w:t>
      </w:r>
    </w:p>
    <w:p w:rsidR="001559F5" w:rsidRPr="00A50BD6" w:rsidRDefault="001559F5" w:rsidP="001559F5">
      <w:pPr>
        <w:pStyle w:val="BodyText"/>
        <w:jc w:val="both"/>
      </w:pPr>
      <w:r w:rsidRPr="00A50BD6">
        <w:t>A plan prepared by a Parish or Town Council or Neighbourhood Forum for a particular neighbourhood area (made under the Planning and Compulsory Purchase Act 2004).</w:t>
      </w:r>
    </w:p>
    <w:p w:rsidR="001559F5" w:rsidRPr="00A50BD6" w:rsidRDefault="001559F5" w:rsidP="001559F5">
      <w:pPr>
        <w:pStyle w:val="BodyText"/>
        <w:jc w:val="both"/>
        <w:rPr>
          <w:b/>
        </w:rPr>
      </w:pPr>
      <w:r w:rsidRPr="00A50BD6">
        <w:rPr>
          <w:b/>
        </w:rPr>
        <w:t>Older People</w:t>
      </w:r>
    </w:p>
    <w:p w:rsidR="001559F5" w:rsidRPr="00A50BD6" w:rsidRDefault="001559F5" w:rsidP="001559F5">
      <w:pPr>
        <w:pStyle w:val="BodyText"/>
        <w:jc w:val="both"/>
      </w:pPr>
      <w:r w:rsidRPr="00A50BD6">
        <w:t>People over retirement age, including the active, newly-retired through to the very frail elderly, whose housing needs can encompass accessible, adaptable general needs housing for those looking to downsize from family housing and the full range of retirement and specialised housing for those with support or care needs.</w:t>
      </w:r>
    </w:p>
    <w:p w:rsidR="001559F5" w:rsidRPr="00A50BD6" w:rsidRDefault="001559F5" w:rsidP="001559F5">
      <w:pPr>
        <w:pStyle w:val="BodyText"/>
        <w:jc w:val="both"/>
        <w:rPr>
          <w:b/>
        </w:rPr>
      </w:pPr>
      <w:r w:rsidRPr="00A50BD6">
        <w:rPr>
          <w:b/>
        </w:rPr>
        <w:t>Output Area/Lower Super Output Area/Middle Super Output Area</w:t>
      </w:r>
    </w:p>
    <w:p w:rsidR="001559F5" w:rsidRDefault="001559F5" w:rsidP="001559F5">
      <w:pPr>
        <w:pStyle w:val="BodyText"/>
        <w:jc w:val="both"/>
      </w:pPr>
      <w:r w:rsidRPr="00A50BD6">
        <w:t>An output area is the lowest level of geography for publishing statistics, and is the core geography from which statistics for other geographies are built. Output areas were created for England and Wales from the 2001 Census data, by grouping a number of households and populations together so that each output area's population is roughly the same. 175,434 output areas were created from the 2001 Census data, each containing a minimum of 100 persons with an average of 300 persons.  Lower Super Output Areas consist of higher geographies of between 1,000-1,500 persons (made up of a number of individual Output Areas) and Middle Super Output Areas are higher than this, containing between 5,000 and 7,200 people, and made up of individual Lower Layer Super Output Areas. Some statistics are only available down to Middle Layer Super Output Area level, meaning that they are not available for individual Output Areas or parishes.</w:t>
      </w:r>
    </w:p>
    <w:p w:rsidR="001559F5" w:rsidRDefault="001559F5" w:rsidP="001559F5">
      <w:pPr>
        <w:spacing w:line="240" w:lineRule="auto"/>
      </w:pPr>
      <w:r>
        <w:br w:type="page"/>
      </w:r>
    </w:p>
    <w:p w:rsidR="001559F5" w:rsidRPr="00A50BD6" w:rsidRDefault="001559F5" w:rsidP="001559F5">
      <w:pPr>
        <w:pStyle w:val="BodyText"/>
        <w:jc w:val="both"/>
        <w:rPr>
          <w:b/>
        </w:rPr>
      </w:pPr>
      <w:r w:rsidRPr="00A50BD6">
        <w:rPr>
          <w:b/>
        </w:rPr>
        <w:lastRenderedPageBreak/>
        <w:t>Overcrowding</w:t>
      </w:r>
    </w:p>
    <w:p w:rsidR="001559F5" w:rsidRPr="00A50BD6" w:rsidRDefault="001559F5" w:rsidP="001559F5">
      <w:pPr>
        <w:pStyle w:val="BodyText"/>
        <w:jc w:val="both"/>
      </w:pPr>
      <w:r w:rsidRPr="00A50BD6">
        <w:t>There is no single agreed definition of overcrowding, however, utilising the Government’s bedroom standard, overcrowding is deemed to be in households where there is more than one person in the household per room (excluding kitchens, bathrooms, halls and storage areas). As such, a home with one bedroom and one living room and one kitchen would be deemed overcrowded if three adults were living there.</w:t>
      </w:r>
    </w:p>
    <w:p w:rsidR="001559F5" w:rsidRPr="00A50BD6" w:rsidRDefault="001559F5" w:rsidP="001559F5">
      <w:pPr>
        <w:pStyle w:val="BodyText"/>
        <w:jc w:val="both"/>
        <w:rPr>
          <w:b/>
        </w:rPr>
      </w:pPr>
      <w:r w:rsidRPr="00A50BD6">
        <w:rPr>
          <w:b/>
        </w:rPr>
        <w:t>Planning Condition</w:t>
      </w:r>
    </w:p>
    <w:p w:rsidR="001559F5" w:rsidRPr="00A50BD6" w:rsidRDefault="001559F5" w:rsidP="001559F5">
      <w:pPr>
        <w:pStyle w:val="BodyText"/>
        <w:jc w:val="both"/>
      </w:pPr>
      <w:r w:rsidRPr="00A50BD6">
        <w:t>A condition imposed on a grant of planning permission (in accordance with the Town and Country Planning Act 1990) or a condition included in a Local Development Order or Neighbourhood Development Order.</w:t>
      </w:r>
    </w:p>
    <w:p w:rsidR="001559F5" w:rsidRPr="00A50BD6" w:rsidRDefault="001559F5" w:rsidP="001559F5">
      <w:pPr>
        <w:pStyle w:val="BodyText"/>
        <w:jc w:val="both"/>
        <w:rPr>
          <w:b/>
        </w:rPr>
      </w:pPr>
      <w:r w:rsidRPr="00A50BD6">
        <w:rPr>
          <w:b/>
        </w:rPr>
        <w:t>Planning Obligation</w:t>
      </w:r>
    </w:p>
    <w:p w:rsidR="001559F5" w:rsidRPr="00A50BD6" w:rsidRDefault="001559F5" w:rsidP="001559F5">
      <w:pPr>
        <w:pStyle w:val="BodyText"/>
        <w:jc w:val="both"/>
      </w:pPr>
      <w:r w:rsidRPr="00A50BD6">
        <w:t>A legally enforceable obligation entered into under section 106 of the Town and Country Planning Act 1990 to mitigate the impacts of a development proposal.</w:t>
      </w:r>
    </w:p>
    <w:p w:rsidR="001559F5" w:rsidRPr="00A50BD6" w:rsidRDefault="001559F5" w:rsidP="001559F5">
      <w:pPr>
        <w:pStyle w:val="BodyText"/>
        <w:jc w:val="both"/>
        <w:rPr>
          <w:b/>
        </w:rPr>
      </w:pPr>
      <w:r w:rsidRPr="00A50BD6">
        <w:rPr>
          <w:b/>
        </w:rPr>
        <w:t>Purchase Threshold</w:t>
      </w:r>
    </w:p>
    <w:p w:rsidR="001559F5" w:rsidRPr="00A50BD6" w:rsidRDefault="001559F5" w:rsidP="001559F5">
      <w:pPr>
        <w:pStyle w:val="BodyText"/>
        <w:jc w:val="both"/>
      </w:pPr>
      <w:r w:rsidRPr="00A50BD6">
        <w:t xml:space="preserve">Purchase thresholds are calculated by netting 10% off the entry house price to reflect purchase deposit. The resulting cost is divided by 4 to reflect the standard household income requirement to access mortgage products. </w:t>
      </w:r>
    </w:p>
    <w:p w:rsidR="001559F5" w:rsidRPr="00A50BD6" w:rsidRDefault="001559F5" w:rsidP="001559F5">
      <w:pPr>
        <w:pStyle w:val="BodyText"/>
        <w:jc w:val="both"/>
        <w:rPr>
          <w:b/>
        </w:rPr>
      </w:pPr>
      <w:r w:rsidRPr="00A50BD6">
        <w:rPr>
          <w:b/>
        </w:rPr>
        <w:t xml:space="preserve">Proportionate and Robust Evidence </w:t>
      </w:r>
    </w:p>
    <w:p w:rsidR="001559F5" w:rsidRPr="00A50BD6" w:rsidRDefault="001559F5" w:rsidP="001559F5">
      <w:pPr>
        <w:pStyle w:val="BodyText"/>
        <w:jc w:val="both"/>
      </w:pPr>
      <w:r w:rsidRPr="00A50BD6">
        <w:t xml:space="preserve">Proportionate and robust evidence is evidence which is deemed appropriate in scale, scope and depth for the purposes of neighbourhood planning, sufficient so as to meet the Basic Conditions, as well as robust enough to withstand legal challenge. It is referred to a number of times in the PPG and its definition and interpretation relies on the judgement of professionals such as Neighbourhood Plan Examiners. </w:t>
      </w:r>
    </w:p>
    <w:p w:rsidR="001559F5" w:rsidRPr="00A50BD6" w:rsidRDefault="001559F5" w:rsidP="001559F5">
      <w:pPr>
        <w:pStyle w:val="BodyText"/>
        <w:jc w:val="both"/>
        <w:rPr>
          <w:b/>
        </w:rPr>
      </w:pPr>
      <w:r w:rsidRPr="00A50BD6">
        <w:rPr>
          <w:b/>
        </w:rPr>
        <w:t>Private Rented</w:t>
      </w:r>
    </w:p>
    <w:p w:rsidR="001559F5" w:rsidRPr="00A50BD6" w:rsidRDefault="001559F5" w:rsidP="001559F5">
      <w:pPr>
        <w:pStyle w:val="BodyText"/>
        <w:jc w:val="both"/>
      </w:pPr>
      <w:r w:rsidRPr="00A50BD6">
        <w:t>The Census tenure private rented includes a range of different living situations in practice, such as private rented/ other including households living “rent free”. Around 20% of the private rented sector are in this category, which will have included some benefit claimants whose housing benefit at the time was paid directly to their landlord. This could mean people whose rent is paid by their employer, including some people in the armed forces. Some housing association tenants may also have been counted as living in the private rented sector because of confusion about what a housing association is.</w:t>
      </w:r>
    </w:p>
    <w:p w:rsidR="001559F5" w:rsidRPr="00A50BD6" w:rsidRDefault="001559F5" w:rsidP="001559F5">
      <w:pPr>
        <w:pStyle w:val="BodyText"/>
        <w:jc w:val="both"/>
        <w:rPr>
          <w:b/>
        </w:rPr>
      </w:pPr>
      <w:r w:rsidRPr="00A50BD6">
        <w:rPr>
          <w:b/>
        </w:rPr>
        <w:t>Rural Exception Sites</w:t>
      </w:r>
    </w:p>
    <w:p w:rsidR="001559F5" w:rsidRPr="00A50BD6" w:rsidRDefault="001559F5" w:rsidP="001559F5">
      <w:pPr>
        <w:pStyle w:val="BodyText"/>
        <w:jc w:val="both"/>
      </w:pPr>
      <w:r w:rsidRPr="00A50BD6">
        <w:t>Small sites used for affordable housing in perpetuity where sites would not normally be used for housing. Rural exception sites seek to address the needs of the local community by accommodating households who are either current residents or have an existing family or employment connection. Small numbers of market homes may be allowed at the local authority’s discretion, for example where essential to enable the delivery of affordable dwellings without grant funding.</w:t>
      </w:r>
    </w:p>
    <w:p w:rsidR="001559F5" w:rsidRPr="00A50BD6" w:rsidRDefault="001559F5" w:rsidP="001559F5">
      <w:pPr>
        <w:pStyle w:val="BodyText"/>
        <w:jc w:val="both"/>
        <w:rPr>
          <w:b/>
        </w:rPr>
      </w:pPr>
      <w:r w:rsidRPr="00A50BD6">
        <w:rPr>
          <w:b/>
        </w:rPr>
        <w:t>Shared Ownership</w:t>
      </w:r>
    </w:p>
    <w:p w:rsidR="001559F5" w:rsidRPr="00A50BD6" w:rsidRDefault="001559F5" w:rsidP="001559F5">
      <w:pPr>
        <w:pStyle w:val="BodyText"/>
        <w:jc w:val="both"/>
      </w:pPr>
      <w:r w:rsidRPr="00A50BD6">
        <w:t>Housing where a purchaser part buys and part rents from a housing association or local authority. Typical purchase share is between 25% and 75%, and buyers are encouraged to buy the largest share they can afford. Generally applies to new build properties, but re</w:t>
      </w:r>
      <w:r w:rsidRPr="00A50BD6">
        <w:rPr>
          <w:rFonts w:ascii="Cambria Math" w:hAnsi="Cambria Math" w:cs="Cambria Math"/>
        </w:rPr>
        <w:t>‐</w:t>
      </w:r>
      <w:r w:rsidRPr="00A50BD6">
        <w:t>sales occasionally become available. There may be an opportunity to rent at intermediate rent level before purchasing a share in order to save/increase the deposit level</w:t>
      </w:r>
    </w:p>
    <w:p w:rsidR="001559F5" w:rsidRPr="00A50BD6" w:rsidRDefault="001559F5" w:rsidP="001559F5">
      <w:pPr>
        <w:pStyle w:val="BodyText"/>
        <w:jc w:val="both"/>
        <w:rPr>
          <w:b/>
        </w:rPr>
      </w:pPr>
      <w:r w:rsidRPr="00A50BD6">
        <w:rPr>
          <w:b/>
        </w:rPr>
        <w:t>Sheltered Housing</w:t>
      </w:r>
      <w:r w:rsidRPr="00A50BD6">
        <w:rPr>
          <w:rStyle w:val="FootnoteReference"/>
          <w:b/>
        </w:rPr>
        <w:footnoteReference w:id="7"/>
      </w:r>
    </w:p>
    <w:p w:rsidR="001559F5" w:rsidRPr="00A50BD6" w:rsidRDefault="001559F5" w:rsidP="001559F5">
      <w:pPr>
        <w:pStyle w:val="BodyText"/>
        <w:jc w:val="both"/>
      </w:pPr>
      <w:r w:rsidRPr="00A50BD6">
        <w:t xml:space="preserve">Sheltered housing (also known as retirement housing) means having your own flat or bungalow in a block, or on a small estate, where all the other residents are older people (usually over 55). With a few exceptions, all developments (or 'schemes') provide independent, self-contained homes with their own front doors. There are many different types of scheme, both to rent and to buy. They usually contain between 15 and 40 properties, and range in size from studio flats (or 'bedsits') through to 2 and 3 bedroomed. Properties in most schemes are designed to make life a little easier for older people - with features like raised electric sockets, lowered worktops, walk-in showers, and so on. Some will usually be designed to accommodate wheelchair users. And they are usually linked to an emergency alarm service (sometimes called 'community alarm service') to call help if needed. Many schemes also have their own 'manager' or 'warden', </w:t>
      </w:r>
      <w:r w:rsidRPr="00A50BD6">
        <w:lastRenderedPageBreak/>
        <w:t>either living on-site or nearby, whose job is to manage the scheme and help arrange any services residents need. Managed schemes will also usually have some shared or communal facilities such as a lounge for residents to meet, a laundry, a guest flat and a garden.</w:t>
      </w:r>
    </w:p>
    <w:p w:rsidR="001559F5" w:rsidRPr="00A50BD6" w:rsidRDefault="001559F5" w:rsidP="001559F5">
      <w:pPr>
        <w:pStyle w:val="BodyText"/>
        <w:jc w:val="both"/>
        <w:rPr>
          <w:b/>
          <w:bCs/>
        </w:rPr>
      </w:pPr>
      <w:r w:rsidRPr="00A50BD6">
        <w:rPr>
          <w:b/>
          <w:bCs/>
        </w:rPr>
        <w:t xml:space="preserve">Strategic Housing Land Availability Assessment </w:t>
      </w:r>
    </w:p>
    <w:p w:rsidR="001559F5" w:rsidRPr="00A50BD6" w:rsidRDefault="001559F5" w:rsidP="001559F5">
      <w:pPr>
        <w:pStyle w:val="BodyText"/>
        <w:jc w:val="both"/>
      </w:pPr>
      <w:r w:rsidRPr="00A50BD6">
        <w:t>A Strategic Housing Land Availability Assessment (SHLAA) is a document prepared by one or more local planning authorities to establish realistic assumptions about the availability, suitability and the likely economic viability of land to meet the identi</w:t>
      </w:r>
      <w:r>
        <w:t>fied need for housing over the P</w:t>
      </w:r>
      <w:r w:rsidRPr="00A50BD6">
        <w:t>lan period.  SHLAAs are sometimes also called LAAs (Land Availability Assessments) or HELAAs (Housing and Economic Land Availability Assessments) so as to integrate the need to balance assessed housing and economic needs as described below.</w:t>
      </w:r>
    </w:p>
    <w:p w:rsidR="001559F5" w:rsidRPr="00A50BD6" w:rsidRDefault="001559F5" w:rsidP="001559F5">
      <w:pPr>
        <w:pStyle w:val="BodyText"/>
        <w:jc w:val="both"/>
        <w:rPr>
          <w:b/>
        </w:rPr>
      </w:pPr>
      <w:r w:rsidRPr="00A50BD6">
        <w:rPr>
          <w:b/>
          <w:bCs/>
        </w:rPr>
        <w:t>Strategic Housing Market Assessment (NPPF Definition)</w:t>
      </w:r>
    </w:p>
    <w:p w:rsidR="001559F5" w:rsidRPr="00A50BD6" w:rsidRDefault="001559F5" w:rsidP="001559F5">
      <w:pPr>
        <w:pStyle w:val="BodyText"/>
        <w:jc w:val="both"/>
      </w:pPr>
      <w:r w:rsidRPr="00A50BD6">
        <w:t>A Strategic Housing Market Assessment (SHMA) is a document prepared by one or more local planning authorities to assess their housing needs under the 2012 version of the NPPF, usually across administrative boundaries to encompass the whole housing market area. The NPPF makes clear that SHMAs should identify the scale and mix of housing and the range of tenures the local populat</w:t>
      </w:r>
      <w:r>
        <w:t>ion is likely to need over the P</w:t>
      </w:r>
      <w:r w:rsidRPr="00A50BD6">
        <w:t>lan period. Sometimes SHMAs are combined with Economic Development Needs Assessments to create documents known as HEDNAs (Housing and Economic Development Needs Assessments).</w:t>
      </w:r>
    </w:p>
    <w:p w:rsidR="001559F5" w:rsidRPr="00A50BD6" w:rsidRDefault="001559F5" w:rsidP="001559F5">
      <w:pPr>
        <w:pStyle w:val="BodyText"/>
        <w:jc w:val="both"/>
        <w:rPr>
          <w:b/>
        </w:rPr>
      </w:pPr>
      <w:r w:rsidRPr="00A50BD6">
        <w:rPr>
          <w:b/>
        </w:rPr>
        <w:t>Specialist Housing for the Elderly</w:t>
      </w:r>
    </w:p>
    <w:p w:rsidR="001559F5" w:rsidRPr="00A50BD6" w:rsidRDefault="001559F5" w:rsidP="001559F5">
      <w:pPr>
        <w:pStyle w:val="BodyText"/>
        <w:jc w:val="both"/>
      </w:pPr>
      <w:r w:rsidRPr="00A50BD6">
        <w:t>Specialist housing for the elderly, sometimes known as specialist accommodation for the elderly, encompasses a wide range of housing types specifically aimed at older people, which may often be restricted to those in certain older age groups (usually 55+ or 65+). This could include residential institutions, sometimes known as care homes, sheltered housing, extra care housing, retirement housing and a range of other potential types of housing which has been designed and built to serve the needs of older people, including often providing care or other additional services. This housing can be provided in a range of tenures (often on a rented or leasehold basis).</w:t>
      </w:r>
    </w:p>
    <w:p w:rsidR="001559F5" w:rsidRPr="00A50BD6" w:rsidRDefault="001559F5" w:rsidP="001559F5">
      <w:pPr>
        <w:pStyle w:val="BodyText"/>
        <w:jc w:val="both"/>
        <w:rPr>
          <w:b/>
        </w:rPr>
      </w:pPr>
      <w:r w:rsidRPr="00A50BD6">
        <w:rPr>
          <w:b/>
        </w:rPr>
        <w:t>Social Rented Housing</w:t>
      </w:r>
    </w:p>
    <w:p w:rsidR="001559F5" w:rsidRPr="004F6A79" w:rsidRDefault="001559F5" w:rsidP="001559F5">
      <w:pPr>
        <w:spacing w:line="240" w:lineRule="auto"/>
        <w:jc w:val="both"/>
        <w:sectPr w:rsidR="001559F5" w:rsidRPr="004F6A79" w:rsidSect="00273002">
          <w:pgSz w:w="11907" w:h="16839" w:code="9"/>
          <w:pgMar w:top="1440" w:right="1080" w:bottom="1080" w:left="993" w:header="432" w:footer="432" w:gutter="0"/>
          <w:cols w:space="720"/>
          <w:docGrid w:linePitch="360"/>
        </w:sectPr>
      </w:pPr>
      <w:r w:rsidRPr="00A50BD6">
        <w:t>Social rented housing is owned by local authorities and private registered providers (as defined in Section 80 of the Housing and Regeneration Act 2008.). Guideline target rents for this tenure are determined through the national rent regime. It may also be owned by other persons and provided under equivalent rental arrangements to the above, as agreed with the local authority or with Homes England.</w:t>
      </w:r>
      <w:r w:rsidRPr="00A50BD6">
        <w:rPr>
          <w:rStyle w:val="FootnoteReference"/>
        </w:rPr>
        <w:footnoteReference w:id="8"/>
      </w:r>
      <w:bookmarkStart w:id="1" w:name="_GoBack"/>
      <w:bookmarkEnd w:id="1"/>
    </w:p>
    <w:p w:rsidR="001559F5" w:rsidRDefault="001559F5" w:rsidP="001559F5">
      <w:pPr>
        <w:pStyle w:val="NoSpacing"/>
      </w:pPr>
    </w:p>
    <w:sectPr w:rsidR="00155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38" w:rsidRDefault="002F3738" w:rsidP="001559F5">
      <w:pPr>
        <w:spacing w:line="240" w:lineRule="auto"/>
      </w:pPr>
      <w:r>
        <w:separator/>
      </w:r>
    </w:p>
  </w:endnote>
  <w:endnote w:type="continuationSeparator" w:id="0">
    <w:p w:rsidR="002F3738" w:rsidRDefault="002F3738" w:rsidP="00155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38" w:rsidRDefault="002F3738" w:rsidP="001559F5">
      <w:pPr>
        <w:spacing w:line="240" w:lineRule="auto"/>
      </w:pPr>
      <w:r>
        <w:separator/>
      </w:r>
    </w:p>
  </w:footnote>
  <w:footnote w:type="continuationSeparator" w:id="0">
    <w:p w:rsidR="002F3738" w:rsidRDefault="002F3738" w:rsidP="001559F5">
      <w:pPr>
        <w:spacing w:line="240" w:lineRule="auto"/>
      </w:pPr>
      <w:r>
        <w:continuationSeparator/>
      </w:r>
    </w:p>
  </w:footnote>
  <w:footnote w:id="1">
    <w:p w:rsidR="001559F5" w:rsidRDefault="001559F5" w:rsidP="001559F5">
      <w:pPr>
        <w:pStyle w:val="FootnoteText"/>
      </w:pPr>
      <w:r>
        <w:rPr>
          <w:rStyle w:val="FootnoteReference"/>
        </w:rPr>
        <w:footnoteRef/>
      </w:r>
      <w:r>
        <w:t xml:space="preserve"> </w:t>
      </w:r>
      <w:r w:rsidRPr="00F56E61">
        <w:t xml:space="preserve">The Tenant Services Authority has issued an explanatory note on these </w:t>
      </w:r>
      <w:r>
        <w:t xml:space="preserve">methods </w:t>
      </w:r>
      <w:r w:rsidRPr="00F56E61">
        <w:t xml:space="preserve">at </w:t>
      </w:r>
      <w:hyperlink r:id="rId1" w:history="1">
        <w:r w:rsidRPr="00EC5123">
          <w:rPr>
            <w:rStyle w:val="Hyperlink"/>
          </w:rPr>
          <w:t>http://www.communities.gov.uk/documents/planningandbuilding/pdf/1918430.pdf</w:t>
        </w:r>
      </w:hyperlink>
      <w:r>
        <w:t xml:space="preserve"> </w:t>
      </w:r>
    </w:p>
  </w:footnote>
  <w:footnote w:id="2">
    <w:p w:rsidR="001559F5" w:rsidRDefault="001559F5" w:rsidP="001559F5">
      <w:pPr>
        <w:pStyle w:val="FootnoteText"/>
      </w:pPr>
      <w:r>
        <w:rPr>
          <w:rStyle w:val="FootnoteReference"/>
        </w:rPr>
        <w:footnoteRef/>
      </w:r>
      <w:r>
        <w:t xml:space="preserve"> See </w:t>
      </w:r>
      <w:hyperlink r:id="rId2" w:history="1">
        <w:r w:rsidRPr="00645544">
          <w:rPr>
            <w:rStyle w:val="Hyperlink"/>
          </w:rPr>
          <w:t>https://www.gov.uk/government/statistics/english-housing-survey-2011-to-2012-household-report</w:t>
        </w:r>
      </w:hyperlink>
      <w:r>
        <w:t xml:space="preserve"> </w:t>
      </w:r>
    </w:p>
  </w:footnote>
  <w:footnote w:id="3">
    <w:p w:rsidR="001559F5" w:rsidRDefault="001559F5" w:rsidP="001559F5">
      <w:pPr>
        <w:pStyle w:val="FootnoteText"/>
      </w:pPr>
      <w:r w:rsidRPr="00F56E61">
        <w:rPr>
          <w:rStyle w:val="FootnoteReference"/>
          <w:szCs w:val="16"/>
        </w:rPr>
        <w:footnoteRef/>
      </w:r>
      <w:r w:rsidRPr="00F56E61">
        <w:rPr>
          <w:szCs w:val="16"/>
        </w:rPr>
        <w:t xml:space="preserve"> </w:t>
      </w:r>
      <w:r>
        <w:rPr>
          <w:szCs w:val="16"/>
        </w:rPr>
        <w:t xml:space="preserve">See </w:t>
      </w:r>
      <w:hyperlink r:id="rId3" w:history="1">
        <w:r w:rsidRPr="00645544">
          <w:rPr>
            <w:rStyle w:val="Hyperlink"/>
            <w:szCs w:val="16"/>
          </w:rPr>
          <w:t>https://www.gov.uk/guidance/national-planning-policy-framework/annex-2-glossary</w:t>
        </w:r>
      </w:hyperlink>
      <w:r>
        <w:rPr>
          <w:szCs w:val="16"/>
        </w:rPr>
        <w:t xml:space="preserve"> </w:t>
      </w:r>
    </w:p>
  </w:footnote>
  <w:footnote w:id="4">
    <w:p w:rsidR="001559F5" w:rsidRDefault="001559F5" w:rsidP="001559F5">
      <w:pPr>
        <w:pStyle w:val="FootnoteText"/>
      </w:pPr>
      <w:r w:rsidRPr="00F56E61">
        <w:rPr>
          <w:rStyle w:val="FootnoteReference"/>
          <w:szCs w:val="16"/>
        </w:rPr>
        <w:footnoteRef/>
      </w:r>
      <w:r>
        <w:t xml:space="preserve"> See </w:t>
      </w:r>
      <w:hyperlink r:id="rId4" w:history="1">
        <w:r w:rsidRPr="00645544">
          <w:rPr>
            <w:rStyle w:val="Hyperlink"/>
            <w:szCs w:val="16"/>
          </w:rPr>
          <w:t>http://webarchive.nationalarchives.gov.uk/20160107160832/http://www.ons.gov.uk/ons/dcp171776_350282.pdf</w:t>
        </w:r>
      </w:hyperlink>
      <w:r>
        <w:rPr>
          <w:szCs w:val="16"/>
        </w:rPr>
        <w:t xml:space="preserve"> </w:t>
      </w:r>
    </w:p>
  </w:footnote>
  <w:footnote w:id="5">
    <w:p w:rsidR="001559F5" w:rsidRDefault="001559F5" w:rsidP="001559F5">
      <w:pPr>
        <w:pStyle w:val="FootnoteText"/>
      </w:pPr>
      <w:r w:rsidRPr="00F56E61">
        <w:rPr>
          <w:rStyle w:val="FootnoteReference"/>
          <w:szCs w:val="16"/>
        </w:rPr>
        <w:footnoteRef/>
      </w:r>
      <w:r w:rsidRPr="00F56E61">
        <w:rPr>
          <w:szCs w:val="16"/>
        </w:rPr>
        <w:t xml:space="preserve"> </w:t>
      </w:r>
      <w:r>
        <w:rPr>
          <w:szCs w:val="16"/>
        </w:rPr>
        <w:t xml:space="preserve">See </w:t>
      </w:r>
      <w:hyperlink r:id="rId5" w:history="1">
        <w:r w:rsidRPr="00645544">
          <w:rPr>
            <w:rStyle w:val="Hyperlink"/>
            <w:szCs w:val="16"/>
          </w:rPr>
          <w:t>http://www.housingcare.org/jargon-extra-care-housing.aspx</w:t>
        </w:r>
      </w:hyperlink>
      <w:r>
        <w:rPr>
          <w:szCs w:val="16"/>
        </w:rPr>
        <w:t xml:space="preserve"> </w:t>
      </w:r>
    </w:p>
  </w:footnote>
  <w:footnote w:id="6">
    <w:p w:rsidR="001559F5" w:rsidRDefault="001559F5" w:rsidP="001559F5">
      <w:pPr>
        <w:pStyle w:val="FootnoteText"/>
      </w:pPr>
      <w:r w:rsidRPr="00F56E61">
        <w:rPr>
          <w:rStyle w:val="FootnoteReference"/>
          <w:szCs w:val="16"/>
        </w:rPr>
        <w:footnoteRef/>
      </w:r>
      <w:r w:rsidRPr="00F56E61">
        <w:rPr>
          <w:szCs w:val="16"/>
        </w:rPr>
        <w:t xml:space="preserve"> </w:t>
      </w:r>
      <w:r>
        <w:rPr>
          <w:szCs w:val="16"/>
        </w:rPr>
        <w:t xml:space="preserve">See </w:t>
      </w:r>
      <w:hyperlink r:id="rId6" w:history="1">
        <w:r w:rsidRPr="00645544">
          <w:rPr>
            <w:rStyle w:val="Hyperlink"/>
            <w:szCs w:val="16"/>
          </w:rPr>
          <w:t>https://www.which.co.uk/news/2017/08/how-your-income-affects-your-mortgage-chances/</w:t>
        </w:r>
      </w:hyperlink>
      <w:r>
        <w:rPr>
          <w:szCs w:val="16"/>
        </w:rPr>
        <w:t xml:space="preserve"> </w:t>
      </w:r>
    </w:p>
  </w:footnote>
  <w:footnote w:id="7">
    <w:p w:rsidR="001559F5" w:rsidRDefault="001559F5" w:rsidP="001559F5">
      <w:pPr>
        <w:pStyle w:val="FootnoteText"/>
      </w:pPr>
      <w:r w:rsidRPr="00F56E61">
        <w:rPr>
          <w:rStyle w:val="FootnoteReference"/>
          <w:szCs w:val="16"/>
        </w:rPr>
        <w:footnoteRef/>
      </w:r>
      <w:r w:rsidRPr="00F56E61">
        <w:rPr>
          <w:szCs w:val="16"/>
        </w:rPr>
        <w:t xml:space="preserve"> </w:t>
      </w:r>
      <w:r>
        <w:rPr>
          <w:szCs w:val="16"/>
        </w:rPr>
        <w:t xml:space="preserve">See </w:t>
      </w:r>
      <w:hyperlink r:id="rId7" w:history="1">
        <w:r w:rsidRPr="00645544">
          <w:rPr>
            <w:rStyle w:val="Hyperlink"/>
            <w:szCs w:val="16"/>
          </w:rPr>
          <w:t>http://www.housingcare.org/jargon-sheltered-housing.aspx</w:t>
        </w:r>
      </w:hyperlink>
      <w:r>
        <w:rPr>
          <w:szCs w:val="16"/>
        </w:rPr>
        <w:t xml:space="preserve"> </w:t>
      </w:r>
    </w:p>
  </w:footnote>
  <w:footnote w:id="8">
    <w:p w:rsidR="001559F5" w:rsidRDefault="001559F5" w:rsidP="001559F5">
      <w:pPr>
        <w:pStyle w:val="FootnoteText"/>
      </w:pPr>
      <w:r>
        <w:rPr>
          <w:rStyle w:val="FootnoteReference"/>
        </w:rPr>
        <w:footnoteRef/>
      </w:r>
      <w:r>
        <w:t xml:space="preserve"> See </w:t>
      </w:r>
      <w:hyperlink r:id="rId8" w:anchor="Housing" w:history="1">
        <w:r w:rsidRPr="00645544">
          <w:rPr>
            <w:rStyle w:val="Hyperlink"/>
          </w:rPr>
          <w:t>http://www.communities.gov.uk/documents/planningandbuilding/doc/1980960.doc#Housing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549B9"/>
    <w:multiLevelType w:val="multilevel"/>
    <w:tmpl w:val="A4EC5F26"/>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59A027C"/>
    <w:multiLevelType w:val="multilevel"/>
    <w:tmpl w:val="C3285012"/>
    <w:lvl w:ilvl="0">
      <w:start w:val="1"/>
      <w:numFmt w:val="decimal"/>
      <w:pStyle w:val="ListNumber"/>
      <w:lvlText w:val="%1."/>
      <w:lvlJc w:val="left"/>
      <w:pPr>
        <w:ind w:left="425" w:hanging="425"/>
      </w:pPr>
      <w:rPr>
        <w:rFonts w:hint="default"/>
        <w:b w:val="0"/>
        <w:i w:val="0"/>
        <w:color w:val="auto"/>
        <w:sz w:val="18"/>
        <w:szCs w:val="18"/>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5"/>
    <w:rsid w:val="001559F5"/>
    <w:rsid w:val="002F3738"/>
    <w:rsid w:val="0094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9506-A8AC-4C4B-BBC5-1721E564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59F5"/>
    <w:pPr>
      <w:tabs>
        <w:tab w:val="left" w:pos="284"/>
      </w:tabs>
      <w:spacing w:after="0" w:line="240" w:lineRule="atLeast"/>
    </w:pPr>
    <w:rPr>
      <w:kern w:val="18"/>
      <w:sz w:val="18"/>
      <w:szCs w:val="18"/>
    </w:rPr>
  </w:style>
  <w:style w:type="paragraph" w:styleId="Heading1">
    <w:name w:val="heading 1"/>
    <w:basedOn w:val="Normal"/>
    <w:next w:val="Normal"/>
    <w:link w:val="Heading1Char"/>
    <w:uiPriority w:val="9"/>
    <w:qFormat/>
    <w:rsid w:val="00155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59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9F5"/>
    <w:pPr>
      <w:spacing w:after="0" w:line="240" w:lineRule="auto"/>
    </w:pPr>
  </w:style>
  <w:style w:type="paragraph" w:styleId="ListNumber">
    <w:name w:val="List Number"/>
    <w:basedOn w:val="Normal"/>
    <w:uiPriority w:val="11"/>
    <w:qFormat/>
    <w:rsid w:val="001559F5"/>
    <w:pPr>
      <w:numPr>
        <w:numId w:val="1"/>
      </w:numPr>
      <w:tabs>
        <w:tab w:val="clear" w:pos="284"/>
      </w:tabs>
      <w:spacing w:after="120" w:line="276" w:lineRule="auto"/>
    </w:pPr>
    <w:rPr>
      <w:lang w:val="en-US"/>
    </w:rPr>
  </w:style>
  <w:style w:type="paragraph" w:styleId="ListNumber2">
    <w:name w:val="List Number 2"/>
    <w:basedOn w:val="Normal"/>
    <w:uiPriority w:val="12"/>
    <w:qFormat/>
    <w:rsid w:val="001559F5"/>
    <w:pPr>
      <w:numPr>
        <w:ilvl w:val="1"/>
        <w:numId w:val="1"/>
      </w:numPr>
      <w:tabs>
        <w:tab w:val="clear" w:pos="284"/>
      </w:tabs>
      <w:spacing w:after="120"/>
    </w:pPr>
  </w:style>
  <w:style w:type="paragraph" w:styleId="ListNumber3">
    <w:name w:val="List Number 3"/>
    <w:basedOn w:val="Normal"/>
    <w:uiPriority w:val="13"/>
    <w:qFormat/>
    <w:rsid w:val="001559F5"/>
    <w:pPr>
      <w:numPr>
        <w:ilvl w:val="2"/>
        <w:numId w:val="1"/>
      </w:numPr>
      <w:tabs>
        <w:tab w:val="clear" w:pos="284"/>
      </w:tabs>
      <w:spacing w:after="120"/>
    </w:pPr>
  </w:style>
  <w:style w:type="paragraph" w:styleId="BodyText">
    <w:name w:val="Body Text"/>
    <w:basedOn w:val="Normal"/>
    <w:link w:val="BodyTextChar"/>
    <w:qFormat/>
    <w:rsid w:val="001559F5"/>
    <w:pPr>
      <w:spacing w:after="180"/>
    </w:pPr>
  </w:style>
  <w:style w:type="character" w:customStyle="1" w:styleId="BodyTextChar">
    <w:name w:val="Body Text Char"/>
    <w:basedOn w:val="DefaultParagraphFont"/>
    <w:link w:val="BodyText"/>
    <w:rsid w:val="001559F5"/>
    <w:rPr>
      <w:kern w:val="18"/>
      <w:sz w:val="18"/>
      <w:szCs w:val="18"/>
    </w:rPr>
  </w:style>
  <w:style w:type="paragraph" w:styleId="FootnoteText">
    <w:name w:val="footnote text"/>
    <w:basedOn w:val="Normal"/>
    <w:link w:val="FootnoteTextChar"/>
    <w:uiPriority w:val="99"/>
    <w:unhideWhenUsed/>
    <w:rsid w:val="001559F5"/>
    <w:pPr>
      <w:spacing w:line="240" w:lineRule="auto"/>
    </w:pPr>
    <w:rPr>
      <w:sz w:val="16"/>
      <w:szCs w:val="20"/>
    </w:rPr>
  </w:style>
  <w:style w:type="character" w:customStyle="1" w:styleId="FootnoteTextChar">
    <w:name w:val="Footnote Text Char"/>
    <w:basedOn w:val="DefaultParagraphFont"/>
    <w:link w:val="FootnoteText"/>
    <w:uiPriority w:val="99"/>
    <w:rsid w:val="001559F5"/>
    <w:rPr>
      <w:kern w:val="18"/>
      <w:sz w:val="16"/>
      <w:szCs w:val="20"/>
    </w:rPr>
  </w:style>
  <w:style w:type="character" w:styleId="FootnoteReference">
    <w:name w:val="footnote reference"/>
    <w:basedOn w:val="DefaultParagraphFont"/>
    <w:uiPriority w:val="99"/>
    <w:unhideWhenUsed/>
    <w:rsid w:val="001559F5"/>
    <w:rPr>
      <w:rFonts w:asciiTheme="majorHAnsi" w:hAnsiTheme="majorHAnsi"/>
      <w:color w:val="auto"/>
      <w:vertAlign w:val="superscript"/>
    </w:rPr>
  </w:style>
  <w:style w:type="paragraph" w:customStyle="1" w:styleId="Appendix">
    <w:name w:val="Appendix"/>
    <w:basedOn w:val="Heading1"/>
    <w:next w:val="BodyText"/>
    <w:uiPriority w:val="6"/>
    <w:qFormat/>
    <w:rsid w:val="001559F5"/>
    <w:pPr>
      <w:pageBreakBefore/>
      <w:numPr>
        <w:numId w:val="2"/>
      </w:numPr>
      <w:tabs>
        <w:tab w:val="clear" w:pos="284"/>
        <w:tab w:val="num" w:pos="360"/>
      </w:tabs>
      <w:spacing w:before="180" w:after="180" w:line="264" w:lineRule="auto"/>
    </w:pPr>
    <w:rPr>
      <w:b/>
      <w:bCs/>
      <w:color w:val="5B9BD5" w:themeColor="accent1"/>
      <w:sz w:val="30"/>
      <w:szCs w:val="28"/>
    </w:rPr>
  </w:style>
  <w:style w:type="character" w:styleId="Hyperlink">
    <w:name w:val="Hyperlink"/>
    <w:basedOn w:val="DefaultParagraphFont"/>
    <w:uiPriority w:val="99"/>
    <w:qFormat/>
    <w:rsid w:val="001559F5"/>
    <w:rPr>
      <w:color w:val="5B9BD5" w:themeColor="accent1"/>
      <w:u w:val="single"/>
    </w:rPr>
  </w:style>
  <w:style w:type="paragraph" w:customStyle="1" w:styleId="Appendixheading2">
    <w:name w:val="Appendix heading 2"/>
    <w:basedOn w:val="Heading2"/>
    <w:next w:val="BodyText"/>
    <w:uiPriority w:val="7"/>
    <w:qFormat/>
    <w:rsid w:val="001559F5"/>
    <w:pPr>
      <w:numPr>
        <w:ilvl w:val="1"/>
        <w:numId w:val="2"/>
      </w:numPr>
      <w:tabs>
        <w:tab w:val="clear" w:pos="284"/>
        <w:tab w:val="num" w:pos="360"/>
      </w:tabs>
      <w:spacing w:before="240" w:after="180" w:line="264" w:lineRule="auto"/>
      <w:ind w:left="0" w:firstLine="0"/>
    </w:pPr>
    <w:rPr>
      <w:bCs/>
      <w:color w:val="5B9BD5" w:themeColor="accent1"/>
    </w:rPr>
  </w:style>
  <w:style w:type="character" w:customStyle="1" w:styleId="Heading1Char">
    <w:name w:val="Heading 1 Char"/>
    <w:basedOn w:val="DefaultParagraphFont"/>
    <w:link w:val="Heading1"/>
    <w:uiPriority w:val="9"/>
    <w:rsid w:val="001559F5"/>
    <w:rPr>
      <w:rFonts w:asciiTheme="majorHAnsi" w:eastAsiaTheme="majorEastAsia" w:hAnsiTheme="majorHAnsi" w:cstheme="majorBidi"/>
      <w:color w:val="2E74B5" w:themeColor="accent1" w:themeShade="BF"/>
      <w:kern w:val="18"/>
      <w:sz w:val="32"/>
      <w:szCs w:val="32"/>
    </w:rPr>
  </w:style>
  <w:style w:type="character" w:customStyle="1" w:styleId="Heading2Char">
    <w:name w:val="Heading 2 Char"/>
    <w:basedOn w:val="DefaultParagraphFont"/>
    <w:link w:val="Heading2"/>
    <w:uiPriority w:val="9"/>
    <w:semiHidden/>
    <w:rsid w:val="001559F5"/>
    <w:rPr>
      <w:rFonts w:asciiTheme="majorHAnsi" w:eastAsiaTheme="majorEastAsia" w:hAnsiTheme="majorHAnsi" w:cstheme="majorBidi"/>
      <w:color w:val="2E74B5" w:themeColor="accent1" w:themeShade="BF"/>
      <w:kern w:val="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timeho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mmunities.gov.uk/documents/planningandbuilding/doc/1980960.doc" TargetMode="External"/><Relationship Id="rId3" Type="http://schemas.openxmlformats.org/officeDocument/2006/relationships/hyperlink" Target="https://www.gov.uk/guidance/national-planning-policy-framework/annex-2-glossary" TargetMode="External"/><Relationship Id="rId7" Type="http://schemas.openxmlformats.org/officeDocument/2006/relationships/hyperlink" Target="http://www.housingcare.org/jargon-sheltered-housing.aspx" TargetMode="External"/><Relationship Id="rId2" Type="http://schemas.openxmlformats.org/officeDocument/2006/relationships/hyperlink" Target="https://www.gov.uk/government/statistics/english-housing-survey-2011-to-2012-household-report" TargetMode="External"/><Relationship Id="rId1" Type="http://schemas.openxmlformats.org/officeDocument/2006/relationships/hyperlink" Target="http://www.communities.gov.uk/documents/planningandbuilding/pdf/1918430.pdf" TargetMode="External"/><Relationship Id="rId6" Type="http://schemas.openxmlformats.org/officeDocument/2006/relationships/hyperlink" Target="https://www.which.co.uk/news/2017/08/how-your-income-affects-your-mortgage-chances/" TargetMode="External"/><Relationship Id="rId5" Type="http://schemas.openxmlformats.org/officeDocument/2006/relationships/hyperlink" Target="http://www.housingcare.org/jargon-extra-care-housing.aspx" TargetMode="External"/><Relationship Id="rId4" Type="http://schemas.openxmlformats.org/officeDocument/2006/relationships/hyperlink" Target="http://webarchive.nationalarchives.gov.uk/20160107160832/http://www.ons.gov.uk/ons/dcp171776_3502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2019-08-02T14:08:00Z</dcterms:created>
  <dcterms:modified xsi:type="dcterms:W3CDTF">2019-08-02T14:10:00Z</dcterms:modified>
</cp:coreProperties>
</file>