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C01" w:rsidRDefault="00942C01" w:rsidP="001B02C7">
      <w:pPr>
        <w:pStyle w:val="NoSpacing"/>
      </w:pPr>
    </w:p>
    <w:p w:rsidR="001B02C7" w:rsidRDefault="001B02C7" w:rsidP="001B02C7">
      <w:pPr>
        <w:pStyle w:val="NoSpacing"/>
      </w:pPr>
    </w:p>
    <w:p w:rsidR="001B02C7" w:rsidRPr="001B02C7" w:rsidRDefault="001B02C7" w:rsidP="001B02C7">
      <w:pPr>
        <w:pStyle w:val="NoSpacing"/>
        <w:rPr>
          <w:b/>
          <w:sz w:val="24"/>
        </w:rPr>
      </w:pPr>
      <w:r w:rsidRPr="001B02C7">
        <w:rPr>
          <w:b/>
          <w:sz w:val="24"/>
        </w:rPr>
        <w:t>Condover Parish Council Housing Needs Assessment May 2019: Summary of Findings</w:t>
      </w:r>
    </w:p>
    <w:tbl>
      <w:tblPr>
        <w:tblW w:w="1003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1384"/>
        <w:gridCol w:w="1994"/>
        <w:gridCol w:w="3403"/>
        <w:gridCol w:w="3250"/>
      </w:tblGrid>
      <w:tr w:rsidR="001B02C7" w:rsidRPr="00974E34" w:rsidTr="0016363D">
        <w:trPr>
          <w:cantSplit/>
          <w:tblHeader/>
        </w:trPr>
        <w:tc>
          <w:tcPr>
            <w:tcW w:w="1384" w:type="dxa"/>
            <w:tcBorders>
              <w:top w:val="single" w:sz="4" w:space="0" w:color="7F7F7F"/>
              <w:left w:val="single" w:sz="4" w:space="0" w:color="7F7F7F"/>
              <w:bottom w:val="single" w:sz="4" w:space="0" w:color="7F7F7F"/>
              <w:right w:val="single" w:sz="4" w:space="0" w:color="7F7F7F"/>
            </w:tcBorders>
            <w:shd w:val="clear" w:color="auto" w:fill="000000"/>
            <w:hideMark/>
          </w:tcPr>
          <w:p w:rsidR="001B02C7" w:rsidRPr="00974E34" w:rsidRDefault="001B02C7" w:rsidP="0016363D">
            <w:pPr>
              <w:spacing w:after="180"/>
              <w:jc w:val="both"/>
              <w:rPr>
                <w:bCs/>
              </w:rPr>
            </w:pPr>
            <w:bookmarkStart w:id="0" w:name="_Hlk8315066"/>
            <w:r>
              <w:rPr>
                <w:bCs/>
              </w:rPr>
              <w:lastRenderedPageBreak/>
              <w:t>Issue</w:t>
            </w:r>
          </w:p>
        </w:tc>
        <w:tc>
          <w:tcPr>
            <w:tcW w:w="1994" w:type="dxa"/>
            <w:tcBorders>
              <w:top w:val="single" w:sz="4" w:space="0" w:color="7F7F7F"/>
              <w:left w:val="single" w:sz="4" w:space="0" w:color="7F7F7F"/>
              <w:bottom w:val="single" w:sz="4" w:space="0" w:color="7F7F7F"/>
              <w:right w:val="single" w:sz="4" w:space="0" w:color="7F7F7F"/>
            </w:tcBorders>
            <w:shd w:val="clear" w:color="auto" w:fill="000000"/>
            <w:hideMark/>
          </w:tcPr>
          <w:p w:rsidR="001B02C7" w:rsidRPr="00974E34" w:rsidRDefault="001B02C7" w:rsidP="0016363D">
            <w:pPr>
              <w:spacing w:after="180"/>
              <w:jc w:val="both"/>
              <w:rPr>
                <w:bCs/>
              </w:rPr>
            </w:pPr>
            <w:r w:rsidRPr="00974E34">
              <w:rPr>
                <w:bCs/>
              </w:rPr>
              <w:t>Source(s) (see Chapter 3)</w:t>
            </w:r>
          </w:p>
        </w:tc>
        <w:tc>
          <w:tcPr>
            <w:tcW w:w="3403" w:type="dxa"/>
            <w:tcBorders>
              <w:top w:val="single" w:sz="4" w:space="0" w:color="7F7F7F"/>
              <w:left w:val="single" w:sz="4" w:space="0" w:color="7F7F7F"/>
              <w:bottom w:val="single" w:sz="4" w:space="0" w:color="7F7F7F"/>
              <w:right w:val="single" w:sz="4" w:space="0" w:color="7F7F7F"/>
            </w:tcBorders>
            <w:shd w:val="clear" w:color="auto" w:fill="000000"/>
            <w:hideMark/>
          </w:tcPr>
          <w:p w:rsidR="001B02C7" w:rsidRPr="00974E34" w:rsidRDefault="001B02C7" w:rsidP="0016363D">
            <w:pPr>
              <w:spacing w:after="180"/>
              <w:jc w:val="both"/>
              <w:rPr>
                <w:bCs/>
              </w:rPr>
            </w:pPr>
            <w:r w:rsidRPr="00974E34">
              <w:rPr>
                <w:bCs/>
              </w:rPr>
              <w:t>Evidence</w:t>
            </w:r>
          </w:p>
        </w:tc>
        <w:tc>
          <w:tcPr>
            <w:tcW w:w="3250" w:type="dxa"/>
            <w:tcBorders>
              <w:top w:val="single" w:sz="4" w:space="0" w:color="7F7F7F"/>
              <w:left w:val="single" w:sz="4" w:space="0" w:color="7F7F7F"/>
              <w:bottom w:val="single" w:sz="4" w:space="0" w:color="7F7F7F"/>
              <w:right w:val="single" w:sz="4" w:space="0" w:color="7F7F7F"/>
            </w:tcBorders>
            <w:shd w:val="clear" w:color="auto" w:fill="000000"/>
          </w:tcPr>
          <w:p w:rsidR="001B02C7" w:rsidRPr="00974E34" w:rsidRDefault="001B02C7" w:rsidP="0016363D">
            <w:pPr>
              <w:spacing w:after="180"/>
              <w:jc w:val="both"/>
              <w:rPr>
                <w:bCs/>
              </w:rPr>
            </w:pPr>
            <w:r w:rsidRPr="00974E34">
              <w:rPr>
                <w:bCs/>
              </w:rPr>
              <w:t>Conclusion</w:t>
            </w:r>
          </w:p>
          <w:p w:rsidR="001B02C7" w:rsidRPr="00974E34" w:rsidRDefault="001B02C7" w:rsidP="0016363D">
            <w:pPr>
              <w:spacing w:after="180"/>
              <w:jc w:val="both"/>
              <w:rPr>
                <w:bCs/>
              </w:rPr>
            </w:pPr>
          </w:p>
        </w:tc>
      </w:tr>
      <w:tr w:rsidR="001B02C7" w:rsidRPr="00974E34" w:rsidTr="0016363D">
        <w:trPr>
          <w:cantSplit/>
          <w:tblHeader/>
        </w:trPr>
        <w:tc>
          <w:tcPr>
            <w:tcW w:w="1384" w:type="dxa"/>
            <w:tcBorders>
              <w:top w:val="single" w:sz="4" w:space="0" w:color="7F7F7F"/>
              <w:left w:val="single" w:sz="4" w:space="0" w:color="7F7F7F"/>
              <w:bottom w:val="single" w:sz="4" w:space="0" w:color="7F7F7F"/>
              <w:right w:val="single" w:sz="4" w:space="0" w:color="7F7F7F"/>
            </w:tcBorders>
            <w:shd w:val="clear" w:color="auto" w:fill="auto"/>
            <w:hideMark/>
          </w:tcPr>
          <w:p w:rsidR="001B02C7" w:rsidRPr="00BC64A7" w:rsidRDefault="001B02C7" w:rsidP="0016363D">
            <w:pPr>
              <w:spacing w:after="180"/>
              <w:jc w:val="both"/>
              <w:rPr>
                <w:b/>
                <w:bCs/>
              </w:rPr>
            </w:pPr>
            <w:r w:rsidRPr="00BC64A7">
              <w:rPr>
                <w:b/>
                <w:bCs/>
              </w:rPr>
              <w:t>Housing type and Size</w:t>
            </w:r>
          </w:p>
        </w:tc>
        <w:tc>
          <w:tcPr>
            <w:tcW w:w="1994" w:type="dxa"/>
            <w:tcBorders>
              <w:top w:val="single" w:sz="4" w:space="0" w:color="7F7F7F"/>
              <w:left w:val="single" w:sz="4" w:space="0" w:color="7F7F7F"/>
              <w:bottom w:val="single" w:sz="4" w:space="0" w:color="7F7F7F"/>
              <w:right w:val="single" w:sz="4" w:space="0" w:color="7F7F7F"/>
            </w:tcBorders>
            <w:shd w:val="clear" w:color="auto" w:fill="auto"/>
            <w:hideMark/>
          </w:tcPr>
          <w:p w:rsidR="001B02C7" w:rsidRPr="00BC64A7" w:rsidRDefault="001B02C7" w:rsidP="0016363D">
            <w:pPr>
              <w:spacing w:after="180"/>
              <w:rPr>
                <w:bCs/>
              </w:rPr>
            </w:pPr>
            <w:r w:rsidRPr="00BC64A7">
              <w:rPr>
                <w:bCs/>
                <w:webHidden/>
              </w:rPr>
              <w:t>AECOM Calculations,</w:t>
            </w:r>
            <w:r w:rsidRPr="00BC64A7">
              <w:rPr>
                <w:bCs/>
              </w:rPr>
              <w:t xml:space="preserve"> </w:t>
            </w:r>
            <w:r w:rsidRPr="00BC64A7">
              <w:rPr>
                <w:bCs/>
                <w:webHidden/>
              </w:rPr>
              <w:t xml:space="preserve">ONS 2011, </w:t>
            </w:r>
            <w:r w:rsidRPr="00BC64A7">
              <w:rPr>
                <w:bCs/>
              </w:rPr>
              <w:t>MHCLG 2014-based household projections, MHCLG 2011-based household projections</w:t>
            </w:r>
          </w:p>
          <w:p w:rsidR="001B02C7" w:rsidRPr="00BC64A7" w:rsidRDefault="001B02C7" w:rsidP="0016363D">
            <w:pPr>
              <w:spacing w:after="180"/>
              <w:jc w:val="both"/>
              <w:rPr>
                <w:bCs/>
              </w:rPr>
            </w:pPr>
          </w:p>
        </w:tc>
        <w:tc>
          <w:tcPr>
            <w:tcW w:w="3403" w:type="dxa"/>
            <w:tcBorders>
              <w:top w:val="single" w:sz="4" w:space="0" w:color="7F7F7F"/>
              <w:left w:val="single" w:sz="4" w:space="0" w:color="7F7F7F"/>
              <w:bottom w:val="single" w:sz="4" w:space="0" w:color="7F7F7F"/>
              <w:right w:val="single" w:sz="4" w:space="0" w:color="7F7F7F"/>
            </w:tcBorders>
            <w:shd w:val="clear" w:color="auto" w:fill="auto"/>
            <w:hideMark/>
          </w:tcPr>
          <w:p w:rsidR="001B02C7" w:rsidRPr="00BC64A7" w:rsidRDefault="001B02C7" w:rsidP="0016363D">
            <w:pPr>
              <w:spacing w:after="180"/>
              <w:jc w:val="both"/>
              <w:rPr>
                <w:bCs/>
                <w:webHidden/>
              </w:rPr>
            </w:pPr>
            <w:r w:rsidRPr="00BC64A7">
              <w:t>The housing stock in Condover</w:t>
            </w:r>
            <w:r>
              <w:t xml:space="preserve"> Parish</w:t>
            </w:r>
            <w:r w:rsidRPr="00BC64A7">
              <w:t xml:space="preserve"> is characterised by large to very large properties, with 66.8% of the dwellings having six or more rooms, compared to 55% across Shropshire as a whole.</w:t>
            </w:r>
            <w:r w:rsidRPr="00BC64A7">
              <w:rPr>
                <w:bCs/>
                <w:webHidden/>
              </w:rPr>
              <w:t xml:space="preserve"> </w:t>
            </w:r>
          </w:p>
          <w:p w:rsidR="001B02C7" w:rsidRPr="00BC64A7" w:rsidRDefault="001B02C7" w:rsidP="0016363D">
            <w:pPr>
              <w:spacing w:after="180"/>
              <w:jc w:val="both"/>
              <w:rPr>
                <w:bCs/>
              </w:rPr>
            </w:pPr>
            <w:r w:rsidRPr="00BC64A7">
              <w:rPr>
                <w:bCs/>
                <w:webHidden/>
              </w:rPr>
              <w:t>In Condover</w:t>
            </w:r>
            <w:r>
              <w:rPr>
                <w:bCs/>
                <w:webHidden/>
              </w:rPr>
              <w:t xml:space="preserve"> Parish</w:t>
            </w:r>
            <w:r w:rsidRPr="00BC64A7">
              <w:rPr>
                <w:bCs/>
                <w:webHidden/>
              </w:rPr>
              <w:t xml:space="preserve">, </w:t>
            </w:r>
            <w:r w:rsidRPr="00BC64A7">
              <w:t>14.5% of households are single families where members are all aged 65 and over, compared with 11% in Shropshire and 8.1% in England. The Neighbourhood Plan area has a slightly larger proportion of people in the age band 65-84</w:t>
            </w:r>
            <w:r w:rsidRPr="00BC64A7">
              <w:rPr>
                <w:bCs/>
              </w:rPr>
              <w:t>.</w:t>
            </w:r>
          </w:p>
        </w:tc>
        <w:tc>
          <w:tcPr>
            <w:tcW w:w="3250" w:type="dxa"/>
            <w:tcBorders>
              <w:top w:val="single" w:sz="4" w:space="0" w:color="7F7F7F"/>
              <w:left w:val="single" w:sz="4" w:space="0" w:color="7F7F7F"/>
              <w:bottom w:val="single" w:sz="4" w:space="0" w:color="7F7F7F"/>
              <w:right w:val="single" w:sz="4" w:space="0" w:color="7F7F7F"/>
            </w:tcBorders>
            <w:shd w:val="clear" w:color="auto" w:fill="auto"/>
          </w:tcPr>
          <w:p w:rsidR="001B02C7" w:rsidRDefault="001B02C7" w:rsidP="0016363D">
            <w:pPr>
              <w:jc w:val="both"/>
              <w:rPr>
                <w:rFonts w:ascii="Calibri" w:hAnsi="Calibri"/>
              </w:rPr>
            </w:pPr>
            <w:r w:rsidRPr="00BC64A7">
              <w:rPr>
                <w:bCs/>
              </w:rPr>
              <w:t>Whilst an analysis of property types and sizes in the intercensal period suggest that there is an increasing supply of medium-sized and larger properties in the Neighbourhood Plan area (3-4 rooms and 6 rooms or more), it is evident from the life stage modelling that demand for smaller homes may be apparent in the Neighbourhood Plan area as the population continues to age. Given the current stock, to avoid any misalignment, the final recommended housing split for new dwelling provision is estimated to be:</w:t>
            </w:r>
          </w:p>
          <w:p w:rsidR="001B02C7" w:rsidRPr="000F1A66" w:rsidRDefault="001B02C7" w:rsidP="0016363D">
            <w:pPr>
              <w:jc w:val="both"/>
              <w:rPr>
                <w:rFonts w:ascii="Calibri" w:hAnsi="Calibri"/>
              </w:rPr>
            </w:pPr>
          </w:p>
          <w:p w:rsidR="001B02C7" w:rsidRPr="000F1A66" w:rsidRDefault="001B02C7" w:rsidP="0016363D">
            <w:pPr>
              <w:spacing w:after="180"/>
              <w:jc w:val="both"/>
              <w:rPr>
                <w:b/>
                <w:bCs/>
              </w:rPr>
            </w:pPr>
            <w:r w:rsidRPr="000F1A66">
              <w:rPr>
                <w:b/>
                <w:bCs/>
              </w:rPr>
              <w:t>1 bedroom</w:t>
            </w:r>
            <w:r w:rsidRPr="000F1A66">
              <w:rPr>
                <w:b/>
                <w:bCs/>
              </w:rPr>
              <w:tab/>
            </w:r>
            <w:r w:rsidRPr="000F1A66">
              <w:rPr>
                <w:b/>
                <w:bCs/>
              </w:rPr>
              <w:tab/>
              <w:t>18%</w:t>
            </w:r>
          </w:p>
          <w:p w:rsidR="001B02C7" w:rsidRPr="000F1A66" w:rsidRDefault="001B02C7" w:rsidP="0016363D">
            <w:pPr>
              <w:spacing w:after="180"/>
              <w:jc w:val="both"/>
              <w:rPr>
                <w:b/>
                <w:bCs/>
              </w:rPr>
            </w:pPr>
            <w:r w:rsidRPr="000F1A66">
              <w:rPr>
                <w:b/>
                <w:bCs/>
              </w:rPr>
              <w:t>2 bedrooms</w:t>
            </w:r>
            <w:r w:rsidRPr="000F1A66">
              <w:rPr>
                <w:b/>
                <w:bCs/>
              </w:rPr>
              <w:tab/>
            </w:r>
            <w:r w:rsidRPr="000F1A66">
              <w:rPr>
                <w:b/>
                <w:bCs/>
              </w:rPr>
              <w:tab/>
              <w:t>38%</w:t>
            </w:r>
          </w:p>
          <w:p w:rsidR="001B02C7" w:rsidRDefault="001B02C7" w:rsidP="0016363D">
            <w:pPr>
              <w:pStyle w:val="ListNumber"/>
              <w:numPr>
                <w:ilvl w:val="0"/>
                <w:numId w:val="0"/>
              </w:numPr>
              <w:ind w:firstLine="23"/>
              <w:jc w:val="both"/>
              <w:rPr>
                <w:b/>
                <w:bCs/>
              </w:rPr>
            </w:pPr>
            <w:r w:rsidRPr="000F1A66">
              <w:rPr>
                <w:b/>
                <w:bCs/>
              </w:rPr>
              <w:t>3 bedrooms</w:t>
            </w:r>
            <w:r w:rsidRPr="000F1A66">
              <w:rPr>
                <w:b/>
                <w:bCs/>
              </w:rPr>
              <w:tab/>
            </w:r>
            <w:r w:rsidRPr="000F1A66">
              <w:rPr>
                <w:b/>
                <w:bCs/>
              </w:rPr>
              <w:tab/>
              <w:t>44%</w:t>
            </w:r>
          </w:p>
          <w:p w:rsidR="001B02C7" w:rsidRDefault="001B02C7" w:rsidP="0016363D">
            <w:pPr>
              <w:pStyle w:val="ListNumber"/>
              <w:numPr>
                <w:ilvl w:val="0"/>
                <w:numId w:val="0"/>
              </w:numPr>
              <w:ind w:firstLine="23"/>
              <w:jc w:val="both"/>
            </w:pPr>
            <w:r>
              <w:t>It is anticipated there will be no</w:t>
            </w:r>
            <w:r w:rsidRPr="008E2A38">
              <w:t xml:space="preserve"> need </w:t>
            </w:r>
            <w:r>
              <w:t xml:space="preserve">during the Neighbourhood Plan period </w:t>
            </w:r>
            <w:r w:rsidRPr="008E2A38">
              <w:t>to build further large properties with</w:t>
            </w:r>
            <w:r>
              <w:t xml:space="preserve"> four,</w:t>
            </w:r>
            <w:r w:rsidRPr="008E2A38">
              <w:t xml:space="preserve"> five </w:t>
            </w:r>
            <w:r>
              <w:t>or more</w:t>
            </w:r>
            <w:r w:rsidRPr="008E2A38">
              <w:t xml:space="preserve"> bedrooms.</w:t>
            </w:r>
          </w:p>
          <w:p w:rsidR="001B02C7" w:rsidRPr="00D76BB3" w:rsidRDefault="001B02C7" w:rsidP="0016363D">
            <w:pPr>
              <w:pStyle w:val="ListNumber"/>
              <w:numPr>
                <w:ilvl w:val="0"/>
                <w:numId w:val="0"/>
              </w:numPr>
              <w:ind w:firstLine="23"/>
              <w:jc w:val="both"/>
            </w:pPr>
            <w:r>
              <w:t>The changes to the housing mix calculated for four and five-bedroom dwellings are negative numbers</w:t>
            </w:r>
            <w:r w:rsidRPr="005A1148">
              <w:t>.</w:t>
            </w:r>
            <w:r>
              <w:t xml:space="preserve"> </w:t>
            </w:r>
            <w:r w:rsidRPr="00522C81">
              <w:t xml:space="preserve">Because </w:t>
            </w:r>
            <w:r>
              <w:t>in light of the national and local housing shortage, i</w:t>
            </w:r>
            <w:r w:rsidRPr="00522C81">
              <w:t xml:space="preserve">t is </w:t>
            </w:r>
            <w:r>
              <w:t xml:space="preserve">rarely advisable or practicable </w:t>
            </w:r>
            <w:r w:rsidRPr="00522C81">
              <w:t xml:space="preserve">to remove dwellings from the available stock, </w:t>
            </w:r>
            <w:r>
              <w:t xml:space="preserve">as would otherwise be suggested here for dwellings with three or more bedrooms, </w:t>
            </w:r>
            <w:r w:rsidRPr="00522C81">
              <w:t xml:space="preserve">we have set the recommended split at 0% rather than a negative number, and rebalanced the other </w:t>
            </w:r>
            <w:r>
              <w:t>sizes</w:t>
            </w:r>
            <w:r w:rsidRPr="00522C81">
              <w:t xml:space="preserve"> as percentages of the additional dwellings they represent in total.</w:t>
            </w:r>
          </w:p>
        </w:tc>
      </w:tr>
      <w:tr w:rsidR="001B02C7" w:rsidRPr="00FC3D4C" w:rsidTr="0016363D">
        <w:trPr>
          <w:cantSplit/>
          <w:tblHeader/>
        </w:trPr>
        <w:tc>
          <w:tcPr>
            <w:tcW w:w="1384" w:type="dxa"/>
            <w:tcBorders>
              <w:top w:val="single" w:sz="4" w:space="0" w:color="7F7F7F"/>
              <w:left w:val="single" w:sz="4" w:space="0" w:color="7F7F7F"/>
              <w:bottom w:val="single" w:sz="4" w:space="0" w:color="7F7F7F"/>
              <w:right w:val="single" w:sz="4" w:space="0" w:color="7F7F7F"/>
            </w:tcBorders>
            <w:shd w:val="clear" w:color="auto" w:fill="auto"/>
            <w:hideMark/>
          </w:tcPr>
          <w:p w:rsidR="001B02C7" w:rsidRPr="00BC64A7" w:rsidRDefault="001B02C7" w:rsidP="0016363D">
            <w:pPr>
              <w:spacing w:after="180"/>
              <w:rPr>
                <w:b/>
                <w:bCs/>
              </w:rPr>
            </w:pPr>
            <w:r w:rsidRPr="00BC64A7">
              <w:rPr>
                <w:b/>
                <w:bCs/>
              </w:rPr>
              <w:lastRenderedPageBreak/>
              <w:t>Specialist housing for older people</w:t>
            </w:r>
          </w:p>
        </w:tc>
        <w:tc>
          <w:tcPr>
            <w:tcW w:w="1994" w:type="dxa"/>
            <w:tcBorders>
              <w:top w:val="single" w:sz="4" w:space="0" w:color="7F7F7F"/>
              <w:left w:val="single" w:sz="4" w:space="0" w:color="7F7F7F"/>
              <w:bottom w:val="single" w:sz="4" w:space="0" w:color="7F7F7F"/>
              <w:right w:val="single" w:sz="4" w:space="0" w:color="7F7F7F"/>
            </w:tcBorders>
            <w:shd w:val="clear" w:color="auto" w:fill="auto"/>
            <w:hideMark/>
          </w:tcPr>
          <w:p w:rsidR="001B02C7" w:rsidRPr="00BC64A7" w:rsidRDefault="001B02C7" w:rsidP="0016363D">
            <w:pPr>
              <w:spacing w:after="180"/>
              <w:rPr>
                <w:bCs/>
              </w:rPr>
            </w:pPr>
            <w:r w:rsidRPr="00BC64A7">
              <w:rPr>
                <w:bCs/>
              </w:rPr>
              <w:t>AECOM Calculations, Housing LIN (2011), 2014-based Sub-national population projections and Census 2011 (ONS),</w:t>
            </w:r>
          </w:p>
        </w:tc>
        <w:tc>
          <w:tcPr>
            <w:tcW w:w="3403" w:type="dxa"/>
            <w:tcBorders>
              <w:top w:val="single" w:sz="4" w:space="0" w:color="7F7F7F"/>
              <w:left w:val="single" w:sz="4" w:space="0" w:color="7F7F7F"/>
              <w:bottom w:val="single" w:sz="4" w:space="0" w:color="7F7F7F"/>
              <w:right w:val="single" w:sz="4" w:space="0" w:color="7F7F7F"/>
            </w:tcBorders>
            <w:shd w:val="clear" w:color="auto" w:fill="auto"/>
            <w:hideMark/>
          </w:tcPr>
          <w:p w:rsidR="001B02C7" w:rsidRPr="00BC64A7" w:rsidRDefault="001B02C7" w:rsidP="0016363D">
            <w:pPr>
              <w:spacing w:after="180"/>
              <w:jc w:val="both"/>
              <w:rPr>
                <w:bCs/>
              </w:rPr>
            </w:pPr>
            <w:r w:rsidRPr="00BC64A7">
              <w:rPr>
                <w:bCs/>
              </w:rPr>
              <w:t xml:space="preserve">Condover </w:t>
            </w:r>
            <w:r>
              <w:rPr>
                <w:bCs/>
              </w:rPr>
              <w:t xml:space="preserve">Parish </w:t>
            </w:r>
            <w:r w:rsidRPr="00BC64A7">
              <w:rPr>
                <w:bCs/>
              </w:rPr>
              <w:t>has 16 specialist dwe</w:t>
            </w:r>
            <w:r>
              <w:rPr>
                <w:bCs/>
              </w:rPr>
              <w:t>lling bed spaces for older people</w:t>
            </w:r>
            <w:r w:rsidRPr="00BC64A7">
              <w:rPr>
                <w:bCs/>
              </w:rPr>
              <w:t>.</w:t>
            </w:r>
          </w:p>
          <w:p w:rsidR="001B02C7" w:rsidRPr="00BC64A7" w:rsidRDefault="001B02C7" w:rsidP="0016363D">
            <w:pPr>
              <w:spacing w:after="180"/>
              <w:jc w:val="both"/>
              <w:rPr>
                <w:bCs/>
              </w:rPr>
            </w:pPr>
            <w:r w:rsidRPr="00BC64A7">
              <w:rPr>
                <w:bCs/>
              </w:rPr>
              <w:t>Of Condover</w:t>
            </w:r>
            <w:r>
              <w:rPr>
                <w:bCs/>
              </w:rPr>
              <w:t xml:space="preserve"> Parish</w:t>
            </w:r>
            <w:r w:rsidRPr="00BC64A7">
              <w:rPr>
                <w:bCs/>
              </w:rPr>
              <w:t xml:space="preserve">’s projected 2036 population, nearly 17.5% are estimated to be aged 75 and over, which equates to 375 people – and this represents an increase of 189 since the last Census.  </w:t>
            </w:r>
          </w:p>
        </w:tc>
        <w:tc>
          <w:tcPr>
            <w:tcW w:w="3250" w:type="dxa"/>
            <w:tcBorders>
              <w:top w:val="single" w:sz="4" w:space="0" w:color="7F7F7F"/>
              <w:left w:val="single" w:sz="4" w:space="0" w:color="7F7F7F"/>
              <w:bottom w:val="single" w:sz="4" w:space="0" w:color="7F7F7F"/>
              <w:right w:val="single" w:sz="4" w:space="0" w:color="7F7F7F"/>
            </w:tcBorders>
            <w:shd w:val="clear" w:color="auto" w:fill="auto"/>
          </w:tcPr>
          <w:p w:rsidR="001B02C7" w:rsidRPr="00BC64A7" w:rsidRDefault="001B02C7" w:rsidP="0016363D">
            <w:pPr>
              <w:spacing w:after="180"/>
              <w:jc w:val="both"/>
              <w:rPr>
                <w:bCs/>
              </w:rPr>
            </w:pPr>
            <w:r w:rsidRPr="00BC64A7">
              <w:rPr>
                <w:bCs/>
              </w:rPr>
              <w:t xml:space="preserve">The current provision of specialist accommodation is not sufficient to meet the needs of the projected </w:t>
            </w:r>
            <w:r>
              <w:rPr>
                <w:bCs/>
              </w:rPr>
              <w:t>older</w:t>
            </w:r>
            <w:r w:rsidRPr="00BC64A7">
              <w:rPr>
                <w:bCs/>
              </w:rPr>
              <w:t xml:space="preserve"> population, so Condover should plan to </w:t>
            </w:r>
            <w:r w:rsidRPr="00BC64A7">
              <w:rPr>
                <w:b/>
                <w:bCs/>
              </w:rPr>
              <w:t>deliver an additional 78 bed spaces</w:t>
            </w:r>
            <w:r w:rsidRPr="00BC64A7">
              <w:rPr>
                <w:bCs/>
              </w:rPr>
              <w:t xml:space="preserve"> by 2031. </w:t>
            </w:r>
          </w:p>
          <w:p w:rsidR="001B02C7" w:rsidRPr="00BC64A7" w:rsidRDefault="001B02C7" w:rsidP="0016363D">
            <w:pPr>
              <w:spacing w:after="180"/>
              <w:jc w:val="both"/>
              <w:rPr>
                <w:bCs/>
              </w:rPr>
            </w:pPr>
            <w:r w:rsidRPr="00BC64A7">
              <w:rPr>
                <w:bCs/>
              </w:rPr>
              <w:t>The specialist housing to be provided should be split into the following tenures to reflect national trends and imbalances in the current stock:</w:t>
            </w:r>
          </w:p>
          <w:tbl>
            <w:tblPr>
              <w:tblW w:w="2969" w:type="dxa"/>
              <w:tblLayout w:type="fixed"/>
              <w:tblCellMar>
                <w:left w:w="0" w:type="dxa"/>
                <w:right w:w="0" w:type="dxa"/>
              </w:tblCellMar>
              <w:tblLook w:val="04A0" w:firstRow="1" w:lastRow="0" w:firstColumn="1" w:lastColumn="0" w:noHBand="0" w:noVBand="1"/>
            </w:tblPr>
            <w:tblGrid>
              <w:gridCol w:w="1325"/>
              <w:gridCol w:w="956"/>
              <w:gridCol w:w="688"/>
            </w:tblGrid>
            <w:tr w:rsidR="001B02C7" w:rsidRPr="00977118" w:rsidTr="0016363D">
              <w:trPr>
                <w:trHeight w:val="150"/>
              </w:trPr>
              <w:tc>
                <w:tcPr>
                  <w:tcW w:w="132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B02C7" w:rsidRPr="00BC64A7" w:rsidRDefault="001B02C7" w:rsidP="0016363D">
                  <w:pPr>
                    <w:spacing w:line="240" w:lineRule="auto"/>
                    <w:jc w:val="both"/>
                    <w:rPr>
                      <w:rFonts w:eastAsia="Times New Roman" w:cs="Arial"/>
                      <w:lang w:eastAsia="en-GB"/>
                    </w:rPr>
                  </w:pPr>
                  <w:r w:rsidRPr="00BC64A7">
                    <w:rPr>
                      <w:rFonts w:eastAsia="Times New Roman" w:cs="Arial"/>
                      <w:lang w:eastAsia="en-GB"/>
                    </w:rPr>
                    <w:t> </w:t>
                  </w:r>
                </w:p>
              </w:tc>
              <w:tc>
                <w:tcPr>
                  <w:tcW w:w="956" w:type="dxa"/>
                  <w:tcBorders>
                    <w:top w:val="single" w:sz="8" w:space="0" w:color="auto"/>
                    <w:left w:val="nil"/>
                    <w:bottom w:val="single" w:sz="8" w:space="0" w:color="auto"/>
                    <w:right w:val="single" w:sz="8" w:space="0" w:color="auto"/>
                  </w:tcBorders>
                  <w:shd w:val="clear" w:color="auto" w:fill="auto"/>
                  <w:vAlign w:val="center"/>
                  <w:hideMark/>
                </w:tcPr>
                <w:p w:rsidR="001B02C7" w:rsidRPr="00BC64A7" w:rsidRDefault="001B02C7" w:rsidP="0016363D">
                  <w:pPr>
                    <w:spacing w:line="240" w:lineRule="auto"/>
                    <w:jc w:val="both"/>
                    <w:rPr>
                      <w:rFonts w:eastAsia="Times New Roman" w:cs="Arial"/>
                      <w:b/>
                      <w:bCs/>
                      <w:lang w:eastAsia="en-GB"/>
                    </w:rPr>
                  </w:pPr>
                  <w:r w:rsidRPr="00BC64A7">
                    <w:rPr>
                      <w:rFonts w:eastAsia="Times New Roman" w:cs="Arial"/>
                      <w:b/>
                      <w:bCs/>
                      <w:lang w:eastAsia="en-GB"/>
                    </w:rPr>
                    <w:t>Affordable</w:t>
                  </w:r>
                </w:p>
              </w:tc>
              <w:tc>
                <w:tcPr>
                  <w:tcW w:w="688" w:type="dxa"/>
                  <w:tcBorders>
                    <w:top w:val="single" w:sz="8" w:space="0" w:color="auto"/>
                    <w:left w:val="nil"/>
                    <w:bottom w:val="single" w:sz="8" w:space="0" w:color="auto"/>
                    <w:right w:val="single" w:sz="8" w:space="0" w:color="auto"/>
                  </w:tcBorders>
                  <w:shd w:val="clear" w:color="auto" w:fill="auto"/>
                  <w:vAlign w:val="center"/>
                  <w:hideMark/>
                </w:tcPr>
                <w:p w:rsidR="001B02C7" w:rsidRPr="00BC64A7" w:rsidRDefault="001B02C7" w:rsidP="0016363D">
                  <w:pPr>
                    <w:spacing w:line="240" w:lineRule="auto"/>
                    <w:jc w:val="both"/>
                    <w:rPr>
                      <w:rFonts w:eastAsia="Times New Roman" w:cs="Arial"/>
                      <w:b/>
                      <w:bCs/>
                      <w:lang w:eastAsia="en-GB"/>
                    </w:rPr>
                  </w:pPr>
                  <w:r w:rsidRPr="00BC64A7">
                    <w:rPr>
                      <w:rFonts w:eastAsia="Times New Roman" w:cs="Arial"/>
                      <w:b/>
                      <w:bCs/>
                      <w:lang w:eastAsia="en-GB"/>
                    </w:rPr>
                    <w:t>Market</w:t>
                  </w:r>
                </w:p>
              </w:tc>
            </w:tr>
            <w:tr w:rsidR="001B02C7" w:rsidRPr="00977118" w:rsidTr="0016363D">
              <w:trPr>
                <w:trHeight w:val="150"/>
              </w:trPr>
              <w:tc>
                <w:tcPr>
                  <w:tcW w:w="132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B02C7" w:rsidRPr="00BC64A7" w:rsidRDefault="001B02C7" w:rsidP="0016363D">
                  <w:pPr>
                    <w:spacing w:line="240" w:lineRule="auto"/>
                    <w:jc w:val="both"/>
                    <w:rPr>
                      <w:rFonts w:eastAsia="Times New Roman" w:cs="Arial"/>
                      <w:lang w:eastAsia="en-GB"/>
                    </w:rPr>
                  </w:pPr>
                  <w:r w:rsidRPr="00BC64A7">
                    <w:rPr>
                      <w:rFonts w:eastAsia="Times New Roman" w:cs="Arial"/>
                      <w:lang w:eastAsia="en-GB"/>
                    </w:rPr>
                    <w:t>Adaptations, sheltered, or retirement living</w:t>
                  </w:r>
                </w:p>
              </w:tc>
              <w:tc>
                <w:tcPr>
                  <w:tcW w:w="956" w:type="dxa"/>
                  <w:tcBorders>
                    <w:top w:val="single" w:sz="8" w:space="0" w:color="auto"/>
                    <w:left w:val="nil"/>
                    <w:bottom w:val="single" w:sz="8" w:space="0" w:color="auto"/>
                    <w:right w:val="single" w:sz="8" w:space="0" w:color="auto"/>
                  </w:tcBorders>
                  <w:shd w:val="clear" w:color="auto" w:fill="auto"/>
                </w:tcPr>
                <w:p w:rsidR="001B02C7" w:rsidRPr="00BC64A7" w:rsidRDefault="001B02C7" w:rsidP="0016363D">
                  <w:pPr>
                    <w:spacing w:line="240" w:lineRule="auto"/>
                    <w:jc w:val="both"/>
                    <w:rPr>
                      <w:rFonts w:eastAsia="Times New Roman" w:cs="Arial"/>
                      <w:lang w:eastAsia="en-GB"/>
                    </w:rPr>
                  </w:pPr>
                  <w:r w:rsidRPr="00BC64A7">
                    <w:t>19</w:t>
                  </w:r>
                </w:p>
              </w:tc>
              <w:tc>
                <w:tcPr>
                  <w:tcW w:w="688" w:type="dxa"/>
                  <w:tcBorders>
                    <w:top w:val="single" w:sz="8" w:space="0" w:color="auto"/>
                    <w:left w:val="nil"/>
                    <w:bottom w:val="single" w:sz="8" w:space="0" w:color="auto"/>
                    <w:right w:val="single" w:sz="8" w:space="0" w:color="auto"/>
                  </w:tcBorders>
                  <w:shd w:val="clear" w:color="auto" w:fill="auto"/>
                </w:tcPr>
                <w:p w:rsidR="001B02C7" w:rsidRPr="00BC64A7" w:rsidRDefault="001B02C7" w:rsidP="0016363D">
                  <w:pPr>
                    <w:spacing w:line="240" w:lineRule="auto"/>
                    <w:jc w:val="both"/>
                    <w:rPr>
                      <w:rFonts w:eastAsia="Times New Roman" w:cs="Arial"/>
                      <w:lang w:eastAsia="en-GB"/>
                    </w:rPr>
                  </w:pPr>
                  <w:r w:rsidRPr="00BC64A7">
                    <w:t>37</w:t>
                  </w:r>
                </w:p>
              </w:tc>
            </w:tr>
            <w:tr w:rsidR="001B02C7" w:rsidRPr="00977118" w:rsidTr="0016363D">
              <w:trPr>
                <w:trHeight w:val="150"/>
              </w:trPr>
              <w:tc>
                <w:tcPr>
                  <w:tcW w:w="132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B02C7" w:rsidRPr="00BC64A7" w:rsidRDefault="001B02C7" w:rsidP="0016363D">
                  <w:pPr>
                    <w:spacing w:line="240" w:lineRule="auto"/>
                    <w:jc w:val="both"/>
                    <w:rPr>
                      <w:rFonts w:eastAsia="Times New Roman" w:cs="Arial"/>
                      <w:lang w:eastAsia="en-GB"/>
                    </w:rPr>
                  </w:pPr>
                  <w:r w:rsidRPr="00BC64A7">
                    <w:rPr>
                      <w:rFonts w:eastAsia="Times New Roman" w:cs="Arial"/>
                      <w:lang w:eastAsia="en-GB"/>
                    </w:rPr>
                    <w:t xml:space="preserve">Housing with care </w:t>
                  </w:r>
                </w:p>
              </w:tc>
              <w:tc>
                <w:tcPr>
                  <w:tcW w:w="956" w:type="dxa"/>
                  <w:tcBorders>
                    <w:top w:val="nil"/>
                    <w:left w:val="nil"/>
                    <w:bottom w:val="single" w:sz="8" w:space="0" w:color="auto"/>
                    <w:right w:val="single" w:sz="8" w:space="0" w:color="auto"/>
                  </w:tcBorders>
                  <w:shd w:val="clear" w:color="auto" w:fill="auto"/>
                </w:tcPr>
                <w:p w:rsidR="001B02C7" w:rsidRPr="00BC64A7" w:rsidRDefault="001B02C7" w:rsidP="0016363D">
                  <w:pPr>
                    <w:spacing w:line="240" w:lineRule="auto"/>
                    <w:jc w:val="both"/>
                    <w:rPr>
                      <w:rFonts w:eastAsia="Times New Roman" w:cs="Arial"/>
                      <w:lang w:eastAsia="en-GB"/>
                    </w:rPr>
                  </w:pPr>
                  <w:r w:rsidRPr="00BC64A7">
                    <w:t>10</w:t>
                  </w:r>
                </w:p>
              </w:tc>
              <w:tc>
                <w:tcPr>
                  <w:tcW w:w="688" w:type="dxa"/>
                  <w:tcBorders>
                    <w:top w:val="nil"/>
                    <w:left w:val="nil"/>
                    <w:bottom w:val="single" w:sz="8" w:space="0" w:color="auto"/>
                    <w:right w:val="single" w:sz="8" w:space="0" w:color="auto"/>
                  </w:tcBorders>
                  <w:shd w:val="clear" w:color="auto" w:fill="auto"/>
                </w:tcPr>
                <w:p w:rsidR="001B02C7" w:rsidRPr="00BC64A7" w:rsidRDefault="001B02C7" w:rsidP="0016363D">
                  <w:pPr>
                    <w:spacing w:line="240" w:lineRule="auto"/>
                    <w:jc w:val="both"/>
                    <w:rPr>
                      <w:rFonts w:eastAsia="Times New Roman" w:cs="Arial"/>
                      <w:lang w:eastAsia="en-GB"/>
                    </w:rPr>
                  </w:pPr>
                  <w:r w:rsidRPr="00BC64A7">
                    <w:t>12</w:t>
                  </w:r>
                </w:p>
              </w:tc>
            </w:tr>
          </w:tbl>
          <w:p w:rsidR="001B02C7" w:rsidRDefault="001B02C7" w:rsidP="0016363D">
            <w:pPr>
              <w:pStyle w:val="ListNumber"/>
              <w:numPr>
                <w:ilvl w:val="0"/>
                <w:numId w:val="0"/>
              </w:numPr>
              <w:jc w:val="both"/>
              <w:rPr>
                <w:bCs/>
                <w:lang w:val="en-GB"/>
              </w:rPr>
            </w:pPr>
          </w:p>
          <w:p w:rsidR="001B02C7" w:rsidRDefault="001B02C7" w:rsidP="0016363D">
            <w:pPr>
              <w:pStyle w:val="ListNumber"/>
              <w:numPr>
                <w:ilvl w:val="0"/>
                <w:numId w:val="0"/>
              </w:numPr>
              <w:jc w:val="both"/>
              <w:rPr>
                <w:bCs/>
              </w:rPr>
            </w:pPr>
            <w:r w:rsidRPr="00BC64A7">
              <w:rPr>
                <w:bCs/>
              </w:rPr>
              <w:t>However, there is no obligation, expectation or requirement for these all to be provided within the parish itself, an</w:t>
            </w:r>
            <w:r>
              <w:rPr>
                <w:bCs/>
              </w:rPr>
              <w:t>d indeed in the case of Condover Parish,</w:t>
            </w:r>
            <w:r w:rsidRPr="00BC64A7">
              <w:rPr>
                <w:bCs/>
              </w:rPr>
              <w:t xml:space="preserve"> it is concluded that Shrewsbury could be an appropriate location in which some or all of the need arising from Condover</w:t>
            </w:r>
            <w:r>
              <w:rPr>
                <w:bCs/>
              </w:rPr>
              <w:t xml:space="preserve"> Parish</w:t>
            </w:r>
            <w:r w:rsidRPr="00BC64A7">
              <w:rPr>
                <w:bCs/>
              </w:rPr>
              <w:t xml:space="preserve"> could be provided.</w:t>
            </w:r>
          </w:p>
          <w:p w:rsidR="001B02C7" w:rsidRPr="00D76BB3" w:rsidRDefault="001B02C7" w:rsidP="0016363D">
            <w:pPr>
              <w:pStyle w:val="ListNumber"/>
              <w:numPr>
                <w:ilvl w:val="0"/>
                <w:numId w:val="0"/>
              </w:numPr>
              <w:jc w:val="both"/>
              <w:rPr>
                <w:bCs/>
              </w:rPr>
            </w:pPr>
            <w:r w:rsidRPr="00D76BB3">
              <w:rPr>
                <w:bCs/>
              </w:rPr>
              <w:t>It should also be noted that the figure of 78 specialist dwellings for older people is based on a theoretical need projected into the future, and as such should not be confused with (or considered to overlap entirely with) the overall housing requirement figure that has been provided by Shropshire to the neighbourhood planning group.</w:t>
            </w:r>
          </w:p>
          <w:p w:rsidR="001B02C7" w:rsidRPr="00BC64A7" w:rsidRDefault="001B02C7" w:rsidP="0016363D">
            <w:pPr>
              <w:pStyle w:val="ListNumber"/>
              <w:numPr>
                <w:ilvl w:val="0"/>
                <w:numId w:val="0"/>
              </w:numPr>
              <w:jc w:val="both"/>
              <w:rPr>
                <w:bCs/>
              </w:rPr>
            </w:pPr>
            <w:r w:rsidRPr="00D76BB3">
              <w:rPr>
                <w:bCs/>
              </w:rPr>
              <w:t>Wherever the specialist housing need is to be accommodated, partnership working with specialist developers is recommended, so as to introduce a greater degree of choice into</w:t>
            </w:r>
            <w:r>
              <w:rPr>
                <w:bCs/>
              </w:rPr>
              <w:t xml:space="preserve"> the housing options for older</w:t>
            </w:r>
            <w:r w:rsidRPr="00D76BB3">
              <w:rPr>
                <w:bCs/>
              </w:rPr>
              <w:t xml:space="preserve"> people who wish to leave their family homes in their old age. </w:t>
            </w:r>
          </w:p>
        </w:tc>
      </w:tr>
      <w:tr w:rsidR="001B02C7" w:rsidRPr="00974E34" w:rsidTr="0016363D">
        <w:trPr>
          <w:cantSplit/>
          <w:tblHeader/>
        </w:trPr>
        <w:tc>
          <w:tcPr>
            <w:tcW w:w="1384" w:type="dxa"/>
            <w:tcBorders>
              <w:top w:val="single" w:sz="4" w:space="0" w:color="7F7F7F"/>
              <w:left w:val="single" w:sz="4" w:space="0" w:color="7F7F7F"/>
              <w:bottom w:val="single" w:sz="4" w:space="0" w:color="7F7F7F"/>
              <w:right w:val="single" w:sz="4" w:space="0" w:color="7F7F7F"/>
            </w:tcBorders>
            <w:shd w:val="clear" w:color="auto" w:fill="auto"/>
          </w:tcPr>
          <w:p w:rsidR="001B02C7" w:rsidRPr="00BC64A7" w:rsidRDefault="001B02C7" w:rsidP="0016363D">
            <w:pPr>
              <w:spacing w:after="180"/>
              <w:rPr>
                <w:b/>
                <w:bCs/>
              </w:rPr>
            </w:pPr>
            <w:r w:rsidRPr="00BC64A7">
              <w:rPr>
                <w:b/>
                <w:bCs/>
              </w:rPr>
              <w:lastRenderedPageBreak/>
              <w:t xml:space="preserve">Housing for newly-forming households/ first time buyers </w:t>
            </w:r>
          </w:p>
        </w:tc>
        <w:tc>
          <w:tcPr>
            <w:tcW w:w="1994" w:type="dxa"/>
            <w:tcBorders>
              <w:top w:val="single" w:sz="4" w:space="0" w:color="7F7F7F"/>
              <w:left w:val="single" w:sz="4" w:space="0" w:color="7F7F7F"/>
              <w:bottom w:val="single" w:sz="4" w:space="0" w:color="7F7F7F"/>
              <w:right w:val="single" w:sz="4" w:space="0" w:color="7F7F7F"/>
            </w:tcBorders>
            <w:shd w:val="clear" w:color="auto" w:fill="auto"/>
          </w:tcPr>
          <w:p w:rsidR="001B02C7" w:rsidRPr="00BC64A7" w:rsidRDefault="001B02C7" w:rsidP="0016363D">
            <w:pPr>
              <w:spacing w:after="180"/>
              <w:jc w:val="both"/>
              <w:rPr>
                <w:bCs/>
              </w:rPr>
            </w:pPr>
            <w:r w:rsidRPr="00BC64A7">
              <w:rPr>
                <w:bCs/>
              </w:rPr>
              <w:t>AECOM Calculations, Census 2011 (ONS),</w:t>
            </w:r>
          </w:p>
        </w:tc>
        <w:tc>
          <w:tcPr>
            <w:tcW w:w="3403" w:type="dxa"/>
            <w:tcBorders>
              <w:top w:val="single" w:sz="4" w:space="0" w:color="7F7F7F"/>
              <w:left w:val="single" w:sz="4" w:space="0" w:color="7F7F7F"/>
              <w:bottom w:val="single" w:sz="4" w:space="0" w:color="7F7F7F"/>
              <w:right w:val="single" w:sz="4" w:space="0" w:color="7F7F7F"/>
            </w:tcBorders>
            <w:shd w:val="clear" w:color="auto" w:fill="auto"/>
          </w:tcPr>
          <w:p w:rsidR="001B02C7" w:rsidRPr="00BC64A7" w:rsidRDefault="001B02C7" w:rsidP="0016363D">
            <w:pPr>
              <w:spacing w:after="180"/>
              <w:jc w:val="both"/>
              <w:rPr>
                <w:bCs/>
              </w:rPr>
            </w:pPr>
            <w:r w:rsidRPr="00BC64A7">
              <w:rPr>
                <w:bCs/>
              </w:rPr>
              <w:t>There were 308 individuals aged between 18 and 35 in the Neighbourhood Plan area in 2011. This represents 15.74% of the population (1,957). These individuals may or may not have formed their own households.</w:t>
            </w:r>
          </w:p>
        </w:tc>
        <w:tc>
          <w:tcPr>
            <w:tcW w:w="3250" w:type="dxa"/>
            <w:tcBorders>
              <w:top w:val="single" w:sz="4" w:space="0" w:color="7F7F7F"/>
              <w:left w:val="single" w:sz="4" w:space="0" w:color="7F7F7F"/>
              <w:bottom w:val="single" w:sz="4" w:space="0" w:color="7F7F7F"/>
              <w:right w:val="single" w:sz="4" w:space="0" w:color="7F7F7F"/>
            </w:tcBorders>
            <w:shd w:val="clear" w:color="auto" w:fill="auto"/>
          </w:tcPr>
          <w:p w:rsidR="001B02C7" w:rsidRPr="00BC64A7" w:rsidRDefault="001B02C7" w:rsidP="0016363D">
            <w:pPr>
              <w:pStyle w:val="ListNumber"/>
              <w:numPr>
                <w:ilvl w:val="0"/>
                <w:numId w:val="0"/>
              </w:numPr>
              <w:jc w:val="both"/>
            </w:pPr>
            <w:r w:rsidRPr="00BC64A7">
              <w:t xml:space="preserve">Based on ONS census data 2011, we have estimated that about 145 individuals below 35 had not yet formed their own household by that year. This represents around 61 households with the potential to be formed. </w:t>
            </w:r>
          </w:p>
          <w:p w:rsidR="001B02C7" w:rsidRPr="00BC64A7" w:rsidRDefault="001B02C7" w:rsidP="0016363D">
            <w:pPr>
              <w:pStyle w:val="ListNumber"/>
              <w:numPr>
                <w:ilvl w:val="0"/>
                <w:numId w:val="0"/>
              </w:numPr>
              <w:jc w:val="both"/>
            </w:pPr>
            <w:r w:rsidRPr="00BC64A7">
              <w:t xml:space="preserve">The recommended tenure split for housing specifically aimed at meeting the needs of newly-forming households and/or first time buyers in Condover </w:t>
            </w:r>
            <w:r>
              <w:t xml:space="preserve">Parish </w:t>
            </w:r>
            <w:bookmarkStart w:id="1" w:name="_GoBack"/>
            <w:bookmarkEnd w:id="1"/>
            <w:r w:rsidRPr="00BC64A7">
              <w:t>is as follows:</w:t>
            </w:r>
          </w:p>
          <w:p w:rsidR="001B02C7" w:rsidRPr="00BC64A7" w:rsidRDefault="001B02C7" w:rsidP="0016363D">
            <w:pPr>
              <w:pStyle w:val="ListNumber"/>
              <w:ind w:left="47"/>
              <w:jc w:val="both"/>
            </w:pPr>
            <w:r w:rsidRPr="00BC64A7">
              <w:t>Home ownership</w:t>
            </w:r>
            <w:r w:rsidRPr="00BC64A7">
              <w:tab/>
              <w:t>2%</w:t>
            </w:r>
          </w:p>
          <w:p w:rsidR="001B02C7" w:rsidRPr="00BC64A7" w:rsidRDefault="001B02C7" w:rsidP="0016363D">
            <w:pPr>
              <w:pStyle w:val="ListNumber"/>
              <w:ind w:left="47"/>
              <w:jc w:val="both"/>
            </w:pPr>
            <w:r w:rsidRPr="00BC64A7">
              <w:t>Entry-level</w:t>
            </w:r>
            <w:r w:rsidRPr="00BC64A7">
              <w:tab/>
              <w:t>5%</w:t>
            </w:r>
          </w:p>
          <w:p w:rsidR="001B02C7" w:rsidRPr="00BC64A7" w:rsidRDefault="001B02C7" w:rsidP="0016363D">
            <w:pPr>
              <w:pStyle w:val="ListNumber"/>
              <w:ind w:left="47"/>
              <w:jc w:val="both"/>
            </w:pPr>
            <w:r w:rsidRPr="00BC64A7">
              <w:t>Social rent</w:t>
            </w:r>
            <w:r w:rsidRPr="00BC64A7">
              <w:tab/>
              <w:t>35%</w:t>
            </w:r>
          </w:p>
          <w:p w:rsidR="001B02C7" w:rsidRPr="00BC64A7" w:rsidRDefault="001B02C7" w:rsidP="0016363D">
            <w:pPr>
              <w:pStyle w:val="ListNumber"/>
              <w:numPr>
                <w:ilvl w:val="0"/>
                <w:numId w:val="0"/>
              </w:numPr>
              <w:ind w:left="47"/>
              <w:jc w:val="both"/>
            </w:pPr>
            <w:r w:rsidRPr="00BC64A7">
              <w:t>Private rent</w:t>
            </w:r>
            <w:r w:rsidRPr="00BC64A7">
              <w:tab/>
              <w:t>57%</w:t>
            </w:r>
          </w:p>
          <w:p w:rsidR="001B02C7" w:rsidRPr="00D76BB3" w:rsidRDefault="001B02C7" w:rsidP="0016363D">
            <w:pPr>
              <w:pStyle w:val="ListNumber"/>
              <w:numPr>
                <w:ilvl w:val="0"/>
                <w:numId w:val="0"/>
              </w:numPr>
              <w:jc w:val="both"/>
            </w:pPr>
            <w:r>
              <w:t>T</w:t>
            </w:r>
            <w:r w:rsidRPr="00374C95">
              <w:t xml:space="preserve">his </w:t>
            </w:r>
            <w:r>
              <w:t xml:space="preserve">estimated split </w:t>
            </w:r>
            <w:r w:rsidRPr="00374C95">
              <w:t>em</w:t>
            </w:r>
            <w:r>
              <w:t>phasizes the importance to such</w:t>
            </w:r>
            <w:r w:rsidRPr="00374C95">
              <w:t xml:space="preserve"> households of both entry-level market sales (including affordable routes to ho</w:t>
            </w:r>
            <w:r>
              <w:t>me ownership) and private rent.</w:t>
            </w:r>
          </w:p>
        </w:tc>
      </w:tr>
      <w:bookmarkEnd w:id="0"/>
    </w:tbl>
    <w:p w:rsidR="001B02C7" w:rsidRDefault="001B02C7" w:rsidP="001B02C7">
      <w:pPr>
        <w:pStyle w:val="NoSpacing"/>
      </w:pPr>
    </w:p>
    <w:sectPr w:rsidR="001B02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9A027C"/>
    <w:multiLevelType w:val="multilevel"/>
    <w:tmpl w:val="C3285012"/>
    <w:lvl w:ilvl="0">
      <w:start w:val="1"/>
      <w:numFmt w:val="decimal"/>
      <w:pStyle w:val="ListNumber"/>
      <w:lvlText w:val="%1."/>
      <w:lvlJc w:val="left"/>
      <w:pPr>
        <w:ind w:left="425" w:hanging="425"/>
      </w:pPr>
      <w:rPr>
        <w:rFonts w:hint="default"/>
        <w:b w:val="0"/>
        <w:i w:val="0"/>
        <w:color w:val="auto"/>
        <w:sz w:val="18"/>
        <w:szCs w:val="18"/>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righ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right"/>
      <w:pPr>
        <w:tabs>
          <w:tab w:val="num" w:pos="3825"/>
        </w:tabs>
        <w:ind w:left="38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2C7"/>
    <w:rsid w:val="001B02C7"/>
    <w:rsid w:val="00942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457E0-040F-4601-8D5E-2E3D2B146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iPriority="13"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B02C7"/>
    <w:pPr>
      <w:tabs>
        <w:tab w:val="left" w:pos="284"/>
      </w:tabs>
      <w:spacing w:after="0" w:line="240" w:lineRule="atLeast"/>
    </w:pPr>
    <w:rPr>
      <w:kern w:val="18"/>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02C7"/>
    <w:pPr>
      <w:spacing w:after="0" w:line="240" w:lineRule="auto"/>
    </w:pPr>
  </w:style>
  <w:style w:type="paragraph" w:styleId="ListNumber">
    <w:name w:val="List Number"/>
    <w:basedOn w:val="Normal"/>
    <w:uiPriority w:val="11"/>
    <w:qFormat/>
    <w:rsid w:val="001B02C7"/>
    <w:pPr>
      <w:numPr>
        <w:numId w:val="1"/>
      </w:numPr>
      <w:tabs>
        <w:tab w:val="clear" w:pos="284"/>
      </w:tabs>
      <w:spacing w:after="120" w:line="276" w:lineRule="auto"/>
    </w:pPr>
    <w:rPr>
      <w:lang w:val="en-US"/>
    </w:rPr>
  </w:style>
  <w:style w:type="paragraph" w:styleId="ListNumber2">
    <w:name w:val="List Number 2"/>
    <w:basedOn w:val="Normal"/>
    <w:uiPriority w:val="12"/>
    <w:qFormat/>
    <w:rsid w:val="001B02C7"/>
    <w:pPr>
      <w:numPr>
        <w:ilvl w:val="1"/>
        <w:numId w:val="1"/>
      </w:numPr>
      <w:tabs>
        <w:tab w:val="clear" w:pos="284"/>
      </w:tabs>
      <w:spacing w:after="120"/>
    </w:pPr>
  </w:style>
  <w:style w:type="paragraph" w:styleId="ListNumber3">
    <w:name w:val="List Number 3"/>
    <w:basedOn w:val="Normal"/>
    <w:uiPriority w:val="13"/>
    <w:qFormat/>
    <w:rsid w:val="001B02C7"/>
    <w:pPr>
      <w:numPr>
        <w:ilvl w:val="2"/>
        <w:numId w:val="1"/>
      </w:numPr>
      <w:tabs>
        <w:tab w:val="clear" w:pos="284"/>
      </w:tabs>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682</Words>
  <Characters>3892</Characters>
  <Application>Microsoft Office Word</Application>
  <DocSecurity>0</DocSecurity>
  <Lines>32</Lines>
  <Paragraphs>9</Paragraphs>
  <ScaleCrop>false</ScaleCrop>
  <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2019-08-02T14:02:00Z</dcterms:created>
  <dcterms:modified xsi:type="dcterms:W3CDTF">2019-08-02T14:07:00Z</dcterms:modified>
</cp:coreProperties>
</file>